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F87B2" w14:textId="77777777" w:rsidR="007778E3" w:rsidRPr="001C02B6" w:rsidRDefault="007778E3" w:rsidP="007778E3">
      <w:pPr>
        <w:pStyle w:val="Titre1"/>
        <w:adjustRightInd w:val="0"/>
        <w:snapToGrid w:val="0"/>
        <w:spacing w:before="0" w:after="120"/>
        <w:rPr>
          <w:rFonts w:ascii="Times New Roman" w:hAnsi="Times New Roman" w:cs="Times New Roman"/>
          <w:color w:val="000000" w:themeColor="text1"/>
          <w:sz w:val="24"/>
          <w:szCs w:val="24"/>
        </w:rPr>
      </w:pPr>
      <w:r w:rsidRPr="001C02B6">
        <w:rPr>
          <w:rFonts w:ascii="Times New Roman" w:hAnsi="Times New Roman" w:cs="Times New Roman"/>
          <w:color w:val="000000" w:themeColor="text1"/>
          <w:sz w:val="24"/>
          <w:szCs w:val="24"/>
        </w:rPr>
        <w:t>OPINION</w:t>
      </w:r>
    </w:p>
    <w:p w14:paraId="33666A3F" w14:textId="35221E38" w:rsidR="00C42ECF" w:rsidRPr="001D411C" w:rsidRDefault="00F1608A" w:rsidP="00D81D5D">
      <w:pPr>
        <w:adjustRightInd w:val="0"/>
        <w:snapToGrid w:val="0"/>
        <w:jc w:val="center"/>
        <w:rPr>
          <w:rFonts w:cs="Times New Roman"/>
          <w:color w:val="000000" w:themeColor="text1"/>
        </w:rPr>
      </w:pPr>
      <w:r w:rsidRPr="00F1608A">
        <w:rPr>
          <w:rFonts w:eastAsia="Times" w:cs="Times New Roman"/>
          <w:color w:val="000000" w:themeColor="text1"/>
        </w:rPr>
        <w:t>Plaidoyer bis pour l’Europe décadente</w:t>
      </w:r>
      <w:r w:rsidR="00610724">
        <w:rPr>
          <w:rFonts w:eastAsia="Times" w:cs="Times New Roman"/>
          <w:color w:val="000000" w:themeColor="text1"/>
        </w:rPr>
        <w:t xml:space="preserve"> </w:t>
      </w:r>
      <w:r w:rsidR="0090021B" w:rsidRPr="0090021B">
        <w:rPr>
          <w:rFonts w:eastAsia="Times" w:cs="Times New Roman"/>
          <w:color w:val="000000" w:themeColor="text1"/>
        </w:rPr>
        <w:t>!</w:t>
      </w:r>
    </w:p>
    <w:p w14:paraId="7B06D377" w14:textId="155F9AC8" w:rsidR="00C42ECF" w:rsidRPr="001D411C" w:rsidRDefault="00C42ECF" w:rsidP="00D81D5D">
      <w:pPr>
        <w:adjustRightInd w:val="0"/>
        <w:snapToGrid w:val="0"/>
        <w:jc w:val="right"/>
        <w:rPr>
          <w:rFonts w:cs="Times New Roman"/>
          <w:color w:val="000000" w:themeColor="text1"/>
        </w:rPr>
      </w:pPr>
      <w:r w:rsidRPr="001D411C">
        <w:rPr>
          <w:rFonts w:eastAsia="Times" w:cs="Times New Roman"/>
          <w:color w:val="000000" w:themeColor="text1"/>
        </w:rPr>
        <w:t>Par Jean MARSIA, président de la Société européenne de défense AISBL (S€D)</w:t>
      </w:r>
    </w:p>
    <w:p w14:paraId="01A2846C" w14:textId="09ACE2DF" w:rsidR="006F60DD" w:rsidRDefault="001C2550" w:rsidP="00D73B3E">
      <w:pPr>
        <w:rPr>
          <w:rFonts w:cs="Times New Roman"/>
        </w:rPr>
      </w:pPr>
      <w:r>
        <w:rPr>
          <w:rFonts w:cs="Times New Roman"/>
        </w:rPr>
        <w:t>E</w:t>
      </w:r>
      <w:r w:rsidR="00E422FD" w:rsidRPr="00E422FD">
        <w:rPr>
          <w:rFonts w:cs="Times New Roman"/>
          <w:lang w:val="fr-BE"/>
        </w:rPr>
        <w:t xml:space="preserve">n </w:t>
      </w:r>
      <w:r w:rsidR="00F1608A">
        <w:rPr>
          <w:rFonts w:cs="Times New Roman"/>
          <w:lang w:val="fr-BE"/>
        </w:rPr>
        <w:t>1977</w:t>
      </w:r>
      <w:r w:rsidR="00E422FD" w:rsidRPr="00E422FD">
        <w:rPr>
          <w:rFonts w:cs="Times New Roman"/>
          <w:lang w:val="fr-BE"/>
        </w:rPr>
        <w:t xml:space="preserve">, </w:t>
      </w:r>
      <w:r w:rsidR="00F1608A" w:rsidRPr="00F1608A">
        <w:rPr>
          <w:rFonts w:cs="Times New Roman"/>
        </w:rPr>
        <w:t>Raymond Aron</w:t>
      </w:r>
      <w:r w:rsidR="00F1608A">
        <w:rPr>
          <w:rFonts w:cs="Times New Roman"/>
        </w:rPr>
        <w:t xml:space="preserve"> a publié « </w:t>
      </w:r>
      <w:r w:rsidR="00F1608A" w:rsidRPr="00F1608A">
        <w:rPr>
          <w:rFonts w:cs="Times New Roman"/>
        </w:rPr>
        <w:t>Plaidoyer pour l’Europe décadente</w:t>
      </w:r>
      <w:r w:rsidR="00F1608A">
        <w:rPr>
          <w:rFonts w:cs="Times New Roman"/>
        </w:rPr>
        <w:t> »</w:t>
      </w:r>
      <w:r w:rsidR="00EF108B">
        <w:rPr>
          <w:rFonts w:cs="Times New Roman"/>
        </w:rPr>
        <w:t>,</w:t>
      </w:r>
      <w:r w:rsidR="0062348E">
        <w:rPr>
          <w:rStyle w:val="Appelnotedebasdep"/>
          <w:rFonts w:cs="Times New Roman"/>
        </w:rPr>
        <w:footnoteReference w:id="1"/>
      </w:r>
      <w:r w:rsidR="00F1608A">
        <w:rPr>
          <w:rFonts w:cs="Times New Roman"/>
        </w:rPr>
        <w:t xml:space="preserve"> </w:t>
      </w:r>
      <w:r w:rsidR="00EF108B">
        <w:rPr>
          <w:rFonts w:cs="Times New Roman"/>
        </w:rPr>
        <w:t xml:space="preserve">pour </w:t>
      </w:r>
      <w:r w:rsidR="0029304C">
        <w:rPr>
          <w:rFonts w:cs="Times New Roman"/>
        </w:rPr>
        <w:t>tenter de convaincre les Français de ne pas soutenir l’Union de la gauche et François Mitterrand.</w:t>
      </w:r>
    </w:p>
    <w:p w14:paraId="3F409D70" w14:textId="08EF3C08" w:rsidR="00F1608A" w:rsidRDefault="006F60DD" w:rsidP="00D73B3E">
      <w:pPr>
        <w:rPr>
          <w:rFonts w:cs="Times New Roman"/>
        </w:rPr>
      </w:pPr>
      <w:r>
        <w:rPr>
          <w:rFonts w:cs="Times New Roman"/>
        </w:rPr>
        <w:t>Dans</w:t>
      </w:r>
      <w:r w:rsidR="0094314D">
        <w:rPr>
          <w:rFonts w:cs="Times New Roman"/>
        </w:rPr>
        <w:t xml:space="preserve"> la première partie</w:t>
      </w:r>
      <w:r w:rsidR="0029304C">
        <w:rPr>
          <w:rFonts w:cs="Times New Roman"/>
        </w:rPr>
        <w:t xml:space="preserve"> de l’ouvrage</w:t>
      </w:r>
      <w:r w:rsidR="0094314D">
        <w:rPr>
          <w:rFonts w:cs="Times New Roman"/>
        </w:rPr>
        <w:t xml:space="preserve">, </w:t>
      </w:r>
      <w:r w:rsidR="00CE2B9C">
        <w:rPr>
          <w:rFonts w:cs="Times New Roman"/>
        </w:rPr>
        <w:t>« L</w:t>
      </w:r>
      <w:r w:rsidR="000163C5">
        <w:rPr>
          <w:rFonts w:cs="Times New Roman"/>
        </w:rPr>
        <w:t>’Europe</w:t>
      </w:r>
      <w:r w:rsidR="000163C5" w:rsidRPr="00F1608A">
        <w:rPr>
          <w:rFonts w:cs="Times New Roman"/>
        </w:rPr>
        <w:t xml:space="preserve"> </w:t>
      </w:r>
      <w:r w:rsidR="000163C5">
        <w:rPr>
          <w:rFonts w:cs="Times New Roman"/>
        </w:rPr>
        <w:t>mystifiée par le marxisme-léninisme</w:t>
      </w:r>
      <w:r w:rsidR="00CE2B9C">
        <w:rPr>
          <w:rFonts w:cs="Times New Roman"/>
        </w:rPr>
        <w:t> »</w:t>
      </w:r>
      <w:r w:rsidR="000163C5">
        <w:rPr>
          <w:rFonts w:cs="Times New Roman"/>
        </w:rPr>
        <w:t>,</w:t>
      </w:r>
      <w:r w:rsidR="000163C5">
        <w:rPr>
          <w:rStyle w:val="Appelnotedebasdep"/>
          <w:rFonts w:cs="Times New Roman"/>
        </w:rPr>
        <w:footnoteReference w:id="2"/>
      </w:r>
      <w:r w:rsidR="000163C5">
        <w:rPr>
          <w:rFonts w:cs="Times New Roman"/>
        </w:rPr>
        <w:t xml:space="preserve"> </w:t>
      </w:r>
      <w:r w:rsidR="0094314D" w:rsidRPr="00F1608A">
        <w:rPr>
          <w:rFonts w:cs="Times New Roman"/>
        </w:rPr>
        <w:t>Aron</w:t>
      </w:r>
      <w:r w:rsidR="0094314D">
        <w:rPr>
          <w:rFonts w:cs="Times New Roman"/>
        </w:rPr>
        <w:t xml:space="preserve"> a voulu </w:t>
      </w:r>
      <w:r w:rsidR="00EF108B">
        <w:rPr>
          <w:rFonts w:cs="Times New Roman"/>
        </w:rPr>
        <w:t xml:space="preserve">contrer </w:t>
      </w:r>
      <w:r w:rsidR="00D30111">
        <w:rPr>
          <w:rFonts w:cs="Times New Roman"/>
        </w:rPr>
        <w:t xml:space="preserve">la </w:t>
      </w:r>
      <w:r w:rsidR="0029304C">
        <w:rPr>
          <w:rFonts w:cs="Times New Roman"/>
        </w:rPr>
        <w:t>sou</w:t>
      </w:r>
      <w:r w:rsidR="00D30111">
        <w:rPr>
          <w:rFonts w:cs="Times New Roman"/>
        </w:rPr>
        <w:t>mis</w:t>
      </w:r>
      <w:r w:rsidR="0029304C">
        <w:rPr>
          <w:rFonts w:cs="Times New Roman"/>
        </w:rPr>
        <w:t>sion à</w:t>
      </w:r>
      <w:r w:rsidR="00CE2B9C">
        <w:rPr>
          <w:rFonts w:cs="Times New Roman"/>
        </w:rPr>
        <w:t xml:space="preserve"> cette doctrine</w:t>
      </w:r>
      <w:r w:rsidR="00D30111">
        <w:rPr>
          <w:rFonts w:cs="Times New Roman"/>
        </w:rPr>
        <w:t xml:space="preserve"> </w:t>
      </w:r>
      <w:r w:rsidR="0029304C">
        <w:rPr>
          <w:rFonts w:cs="Times New Roman"/>
        </w:rPr>
        <w:t>d’u</w:t>
      </w:r>
      <w:r w:rsidR="00D30111">
        <w:rPr>
          <w:rFonts w:cs="Times New Roman"/>
        </w:rPr>
        <w:t xml:space="preserve">ne très grande partie de l’intelligentsia de l’époque. </w:t>
      </w:r>
      <w:r w:rsidR="00EA5075">
        <w:rPr>
          <w:rFonts w:cs="Times New Roman"/>
        </w:rPr>
        <w:t xml:space="preserve">Depuis lors, </w:t>
      </w:r>
      <w:r>
        <w:rPr>
          <w:rFonts w:cs="Times New Roman"/>
        </w:rPr>
        <w:t xml:space="preserve">il est </w:t>
      </w:r>
      <w:r w:rsidR="00EA5075">
        <w:rPr>
          <w:rFonts w:cs="Times New Roman"/>
        </w:rPr>
        <w:t xml:space="preserve">devenu </w:t>
      </w:r>
      <w:r>
        <w:rPr>
          <w:rFonts w:cs="Times New Roman"/>
        </w:rPr>
        <w:t>patent que le capitalisme ne s’est pas auto-détruit et que le marxisme n’a pas supprimé les conflits</w:t>
      </w:r>
      <w:r w:rsidR="000163C5">
        <w:rPr>
          <w:rFonts w:cs="Times New Roman"/>
        </w:rPr>
        <w:t> :</w:t>
      </w:r>
      <w:r>
        <w:rPr>
          <w:rFonts w:cs="Times New Roman"/>
        </w:rPr>
        <w:t xml:space="preserve"> les très durs combats entre la Chine de Mao et l’URSS, puis avec le Vietnam, l</w:t>
      </w:r>
      <w:r w:rsidR="00EA5075">
        <w:rPr>
          <w:rFonts w:cs="Times New Roman"/>
        </w:rPr>
        <w:t>’ont</w:t>
      </w:r>
      <w:r>
        <w:rPr>
          <w:rFonts w:cs="Times New Roman"/>
        </w:rPr>
        <w:t xml:space="preserve"> prouv</w:t>
      </w:r>
      <w:r w:rsidR="00EA5075">
        <w:rPr>
          <w:rFonts w:cs="Times New Roman"/>
        </w:rPr>
        <w:t>é</w:t>
      </w:r>
      <w:r>
        <w:rPr>
          <w:rFonts w:cs="Times New Roman"/>
        </w:rPr>
        <w:t xml:space="preserve">. </w:t>
      </w:r>
      <w:r w:rsidR="00EA5075">
        <w:rPr>
          <w:rFonts w:cs="Times New Roman"/>
        </w:rPr>
        <w:t xml:space="preserve">Pour conclure cette partie, </w:t>
      </w:r>
      <w:r w:rsidR="00EA5075" w:rsidRPr="00F1608A">
        <w:rPr>
          <w:rFonts w:cs="Times New Roman"/>
        </w:rPr>
        <w:t>Aron</w:t>
      </w:r>
      <w:r w:rsidR="00EA5075">
        <w:rPr>
          <w:rFonts w:cs="Times New Roman"/>
        </w:rPr>
        <w:t xml:space="preserve"> c</w:t>
      </w:r>
      <w:r>
        <w:rPr>
          <w:rFonts w:cs="Times New Roman"/>
        </w:rPr>
        <w:t>it</w:t>
      </w:r>
      <w:r w:rsidR="0029304C">
        <w:rPr>
          <w:rFonts w:cs="Times New Roman"/>
        </w:rPr>
        <w:t>ait</w:t>
      </w:r>
      <w:r>
        <w:rPr>
          <w:rFonts w:cs="Times New Roman"/>
        </w:rPr>
        <w:t xml:space="preserve"> Alexandre Soljenitsyne</w:t>
      </w:r>
      <w:r w:rsidR="00EA5075">
        <w:rPr>
          <w:rFonts w:cs="Times New Roman"/>
        </w:rPr>
        <w:t> :</w:t>
      </w:r>
      <w:r>
        <w:rPr>
          <w:rFonts w:cs="Times New Roman"/>
        </w:rPr>
        <w:t xml:space="preserve"> « Le marxisme est tombé si bas qu’il est devenu simplement un objet de mépris</w:t>
      </w:r>
      <w:r w:rsidR="0094314D">
        <w:rPr>
          <w:rFonts w:cs="Times New Roman"/>
        </w:rPr>
        <w:t> »</w:t>
      </w:r>
      <w:r>
        <w:rPr>
          <w:rFonts w:cs="Times New Roman"/>
        </w:rPr>
        <w:t>.</w:t>
      </w:r>
    </w:p>
    <w:p w14:paraId="0EB1BD39" w14:textId="21B01778" w:rsidR="00094356" w:rsidRDefault="0094314D" w:rsidP="00D73B3E">
      <w:pPr>
        <w:rPr>
          <w:rFonts w:cs="Times New Roman"/>
        </w:rPr>
      </w:pPr>
      <w:r>
        <w:rPr>
          <w:rFonts w:cs="Times New Roman"/>
        </w:rPr>
        <w:t xml:space="preserve">Dans la deuxième partie, </w:t>
      </w:r>
      <w:r w:rsidR="00CE2B9C">
        <w:rPr>
          <w:rFonts w:cs="Times New Roman"/>
        </w:rPr>
        <w:t>« L</w:t>
      </w:r>
      <w:r>
        <w:rPr>
          <w:rFonts w:cs="Times New Roman"/>
        </w:rPr>
        <w:t>’Europe inconsciente de sa supériorité</w:t>
      </w:r>
      <w:r w:rsidR="00CE2B9C">
        <w:rPr>
          <w:rFonts w:cs="Times New Roman"/>
        </w:rPr>
        <w:t> »</w:t>
      </w:r>
      <w:r>
        <w:rPr>
          <w:rFonts w:cs="Times New Roman"/>
        </w:rPr>
        <w:t>,</w:t>
      </w:r>
      <w:r w:rsidR="000163C5">
        <w:rPr>
          <w:rStyle w:val="Appelnotedebasdep"/>
          <w:rFonts w:cs="Times New Roman"/>
        </w:rPr>
        <w:footnoteReference w:id="3"/>
      </w:r>
      <w:r>
        <w:rPr>
          <w:rFonts w:cs="Times New Roman"/>
        </w:rPr>
        <w:t xml:space="preserve"> </w:t>
      </w:r>
      <w:r w:rsidR="00EA5075" w:rsidRPr="00F1608A">
        <w:rPr>
          <w:rFonts w:cs="Times New Roman"/>
        </w:rPr>
        <w:t>Aron</w:t>
      </w:r>
      <w:r>
        <w:rPr>
          <w:rFonts w:cs="Times New Roman"/>
        </w:rPr>
        <w:t xml:space="preserve"> </w:t>
      </w:r>
      <w:r w:rsidR="00EA5075">
        <w:rPr>
          <w:rFonts w:cs="Times New Roman"/>
        </w:rPr>
        <w:t>décri</w:t>
      </w:r>
      <w:r w:rsidR="00F916AD">
        <w:rPr>
          <w:rFonts w:cs="Times New Roman"/>
        </w:rPr>
        <w:t>vai</w:t>
      </w:r>
      <w:r w:rsidR="00EA5075">
        <w:rPr>
          <w:rFonts w:cs="Times New Roman"/>
        </w:rPr>
        <w:t>t l’Europe occidentale, qui s’</w:t>
      </w:r>
      <w:r w:rsidR="00F916AD">
        <w:rPr>
          <w:rFonts w:cs="Times New Roman"/>
        </w:rPr>
        <w:t>était</w:t>
      </w:r>
      <w:r w:rsidR="00EA5075">
        <w:rPr>
          <w:rFonts w:cs="Times New Roman"/>
        </w:rPr>
        <w:t xml:space="preserve"> réconciliée </w:t>
      </w:r>
      <w:r w:rsidR="00C13731">
        <w:rPr>
          <w:rFonts w:cs="Times New Roman"/>
        </w:rPr>
        <w:t xml:space="preserve">après des siècles de guerre, </w:t>
      </w:r>
      <w:r w:rsidR="00F916AD">
        <w:rPr>
          <w:rFonts w:cs="Times New Roman"/>
        </w:rPr>
        <w:t xml:space="preserve">qui effaçait les frontières, qui avait abandonné ses empires coloniaux, qui affichait une insolente prospérité, qui s’était intégrée dans le marché mondial libéral, qui garantissait la liberté pour tous et promouvait l’enrichissement moins inégalement réparti, mais où le keynésianisme, source d’un quart de siècle miraculeux, semblait inapte à </w:t>
      </w:r>
      <w:r w:rsidR="0029304C">
        <w:rPr>
          <w:rFonts w:cs="Times New Roman"/>
        </w:rPr>
        <w:t xml:space="preserve">la </w:t>
      </w:r>
      <w:r w:rsidR="00F916AD">
        <w:rPr>
          <w:rFonts w:cs="Times New Roman"/>
        </w:rPr>
        <w:t>sortir de la stagflation.</w:t>
      </w:r>
      <w:r>
        <w:rPr>
          <w:rFonts w:cs="Times New Roman"/>
        </w:rPr>
        <w:t xml:space="preserve"> </w:t>
      </w:r>
      <w:r w:rsidR="0029304C">
        <w:rPr>
          <w:rFonts w:cs="Times New Roman"/>
        </w:rPr>
        <w:t>La</w:t>
      </w:r>
      <w:r w:rsidR="00F916AD">
        <w:rPr>
          <w:rFonts w:cs="Times New Roman"/>
        </w:rPr>
        <w:t xml:space="preserve"> crise polymorphe </w:t>
      </w:r>
      <w:r w:rsidR="0029304C">
        <w:rPr>
          <w:rFonts w:cs="Times New Roman"/>
        </w:rPr>
        <w:t xml:space="preserve">que celle-ci a provoqué </w:t>
      </w:r>
      <w:r w:rsidR="00F916AD">
        <w:rPr>
          <w:rFonts w:cs="Times New Roman"/>
        </w:rPr>
        <w:t xml:space="preserve">pouvait selon Aron </w:t>
      </w:r>
      <w:r w:rsidR="00C12256">
        <w:rPr>
          <w:rFonts w:cs="Times New Roman"/>
        </w:rPr>
        <w:t>« </w:t>
      </w:r>
      <w:r w:rsidR="00F916AD">
        <w:rPr>
          <w:rFonts w:cs="Times New Roman"/>
        </w:rPr>
        <w:t xml:space="preserve">être la preuve de la constante vitalité d’une civilisation qui progresse en se critiquant, ou être le révélateur de l’épuisement des sociétés qui craignent l’avenir et ne font plus </w:t>
      </w:r>
      <w:r w:rsidR="00567704">
        <w:rPr>
          <w:rFonts w:cs="Times New Roman"/>
        </w:rPr>
        <w:t xml:space="preserve">assez </w:t>
      </w:r>
      <w:r w:rsidR="00F916AD">
        <w:rPr>
          <w:rFonts w:cs="Times New Roman"/>
        </w:rPr>
        <w:t>d’enfants.</w:t>
      </w:r>
      <w:r w:rsidR="00C12256">
        <w:rPr>
          <w:rFonts w:cs="Times New Roman"/>
        </w:rPr>
        <w:t> »</w:t>
      </w:r>
    </w:p>
    <w:p w14:paraId="0F7CD858" w14:textId="7F027857" w:rsidR="00E85AC6" w:rsidRDefault="00094356" w:rsidP="00D73B3E">
      <w:pPr>
        <w:rPr>
          <w:rFonts w:cs="Times New Roman"/>
        </w:rPr>
      </w:pPr>
      <w:r>
        <w:rPr>
          <w:rFonts w:cs="Times New Roman"/>
        </w:rPr>
        <w:t xml:space="preserve">« La supériorité de l’Europe, </w:t>
      </w:r>
      <w:r w:rsidRPr="00094356">
        <w:rPr>
          <w:rFonts w:cs="Times New Roman"/>
        </w:rPr>
        <w:t>[</w:t>
      </w:r>
      <w:r>
        <w:rPr>
          <w:rFonts w:cs="Times New Roman"/>
        </w:rPr>
        <w:t>Aron l’a</w:t>
      </w:r>
      <w:r w:rsidRPr="00094356">
        <w:rPr>
          <w:rFonts w:cs="Times New Roman"/>
        </w:rPr>
        <w:t>]</w:t>
      </w:r>
      <w:r>
        <w:rPr>
          <w:rFonts w:cs="Times New Roman"/>
        </w:rPr>
        <w:t xml:space="preserve"> </w:t>
      </w:r>
      <w:r w:rsidR="00C12256">
        <w:rPr>
          <w:rFonts w:cs="Times New Roman"/>
        </w:rPr>
        <w:t>« </w:t>
      </w:r>
      <w:r w:rsidR="006F6D1E">
        <w:rPr>
          <w:rFonts w:cs="Times New Roman"/>
        </w:rPr>
        <w:t xml:space="preserve">cherchée là où beaucoup se </w:t>
      </w:r>
      <w:r w:rsidR="00CE2B9C" w:rsidRPr="00094356">
        <w:rPr>
          <w:rFonts w:cs="Times New Roman"/>
        </w:rPr>
        <w:t>[</w:t>
      </w:r>
      <w:r w:rsidR="006F6D1E">
        <w:rPr>
          <w:rFonts w:cs="Times New Roman"/>
        </w:rPr>
        <w:t>refus</w:t>
      </w:r>
      <w:r w:rsidR="00CE2B9C">
        <w:rPr>
          <w:rFonts w:cs="Times New Roman"/>
        </w:rPr>
        <w:t>ai</w:t>
      </w:r>
      <w:r w:rsidR="006F6D1E">
        <w:rPr>
          <w:rFonts w:cs="Times New Roman"/>
        </w:rPr>
        <w:t>ent</w:t>
      </w:r>
      <w:r w:rsidR="00CE2B9C" w:rsidRPr="00094356">
        <w:rPr>
          <w:rFonts w:cs="Times New Roman"/>
        </w:rPr>
        <w:t>]</w:t>
      </w:r>
      <w:r w:rsidR="006F6D1E">
        <w:rPr>
          <w:rFonts w:cs="Times New Roman"/>
        </w:rPr>
        <w:t xml:space="preserve"> à la voir : dans l’économie, en fait de productivité et d’efficacité. Non </w:t>
      </w:r>
      <w:r w:rsidR="006F6D1E" w:rsidRPr="006F6D1E">
        <w:rPr>
          <w:rFonts w:cs="Times New Roman"/>
        </w:rPr>
        <w:t>[</w:t>
      </w:r>
      <w:r w:rsidR="006F6D1E">
        <w:rPr>
          <w:rFonts w:cs="Times New Roman"/>
        </w:rPr>
        <w:t>qu’il</w:t>
      </w:r>
      <w:r w:rsidR="006F6D1E" w:rsidRPr="006F6D1E">
        <w:rPr>
          <w:rFonts w:cs="Times New Roman"/>
        </w:rPr>
        <w:t>]</w:t>
      </w:r>
      <w:r w:rsidR="006F6D1E">
        <w:rPr>
          <w:rFonts w:cs="Times New Roman"/>
        </w:rPr>
        <w:t xml:space="preserve"> tienne l’indice </w:t>
      </w:r>
      <w:r w:rsidR="006F6D1E" w:rsidRPr="006F6D1E">
        <w:rPr>
          <w:rFonts w:cs="Times New Roman"/>
        </w:rPr>
        <w:t>[</w:t>
      </w:r>
      <w:r w:rsidR="006F6D1E">
        <w:rPr>
          <w:rFonts w:cs="Times New Roman"/>
        </w:rPr>
        <w:t>de productivité</w:t>
      </w:r>
      <w:r w:rsidR="006F6D1E" w:rsidRPr="006F6D1E">
        <w:rPr>
          <w:rFonts w:cs="Times New Roman"/>
        </w:rPr>
        <w:t>]</w:t>
      </w:r>
      <w:r w:rsidR="006F6D1E">
        <w:rPr>
          <w:rFonts w:cs="Times New Roman"/>
        </w:rPr>
        <w:t xml:space="preserve"> globale pour l’indice de la qualité d’une société ou d’une civilisation. Mais la supériorité occidentale en fait de liberté ou de joie de vivre, seuls les esprits prisonniers du fanatisme ou de préjugés peuvent la mettre en doute. </w:t>
      </w:r>
      <w:r w:rsidR="00DF377D">
        <w:rPr>
          <w:rFonts w:cs="Times New Roman"/>
        </w:rPr>
        <w:t xml:space="preserve">Il fallait une étrange méconnaissance de l’histoire pour imaginer que les régimes que nous appelons démocratiques, fondés sur la concurrence entre les partis, le statut légal de l’opposition et la mise en cause permanente de la </w:t>
      </w:r>
      <w:r w:rsidR="00DF377D" w:rsidRPr="006F6D1E">
        <w:rPr>
          <w:rFonts w:cs="Times New Roman"/>
        </w:rPr>
        <w:t>[</w:t>
      </w:r>
      <w:r w:rsidR="00DF377D">
        <w:rPr>
          <w:rFonts w:cs="Times New Roman"/>
        </w:rPr>
        <w:t>majorité au</w:t>
      </w:r>
      <w:r w:rsidR="00DF377D" w:rsidRPr="006F6D1E">
        <w:rPr>
          <w:rFonts w:cs="Times New Roman"/>
        </w:rPr>
        <w:t>]</w:t>
      </w:r>
      <w:r w:rsidR="00DF377D">
        <w:rPr>
          <w:rFonts w:cs="Times New Roman"/>
        </w:rPr>
        <w:t xml:space="preserve"> pouvoir représentent ou bien l’aboutissement nécessaire ou bien le mode normal de gouvernement. Tout au contraire : c’est en tant qu’œuvre rare, précieuse, exceptionnelle de l’art politique que ces régimes méritent d’être sauvés, f</w:t>
      </w:r>
      <w:r w:rsidR="00A926E3">
        <w:rPr>
          <w:rFonts w:cs="Times New Roman"/>
        </w:rPr>
        <w:t>û</w:t>
      </w:r>
      <w:r w:rsidR="00DF377D">
        <w:rPr>
          <w:rFonts w:cs="Times New Roman"/>
        </w:rPr>
        <w:t>t-ce contre la force des choses, par la volonté des hommes.</w:t>
      </w:r>
      <w:r w:rsidR="00E85AC6">
        <w:rPr>
          <w:rFonts w:cs="Times New Roman"/>
        </w:rPr>
        <w:t> »</w:t>
      </w:r>
    </w:p>
    <w:p w14:paraId="4CCEA286" w14:textId="181F5242" w:rsidR="00094356" w:rsidRDefault="00E85AC6" w:rsidP="00D73B3E">
      <w:pPr>
        <w:rPr>
          <w:rFonts w:cs="Times New Roman"/>
        </w:rPr>
      </w:pPr>
      <w:r>
        <w:rPr>
          <w:rFonts w:cs="Times New Roman"/>
        </w:rPr>
        <w:t xml:space="preserve">Dans la troisième partie, </w:t>
      </w:r>
      <w:r w:rsidR="00CE2B9C">
        <w:rPr>
          <w:rFonts w:cs="Times New Roman"/>
        </w:rPr>
        <w:t>« L</w:t>
      </w:r>
      <w:r>
        <w:rPr>
          <w:rFonts w:cs="Times New Roman"/>
        </w:rPr>
        <w:t>’Europe</w:t>
      </w:r>
      <w:r w:rsidR="00DF377D">
        <w:rPr>
          <w:rFonts w:cs="Times New Roman"/>
        </w:rPr>
        <w:t xml:space="preserve"> </w:t>
      </w:r>
      <w:r>
        <w:rPr>
          <w:rFonts w:cs="Times New Roman"/>
        </w:rPr>
        <w:t>victime d’elle-même</w:t>
      </w:r>
      <w:r w:rsidR="00CE2B9C">
        <w:rPr>
          <w:rFonts w:cs="Times New Roman"/>
        </w:rPr>
        <w:t> »</w:t>
      </w:r>
      <w:r>
        <w:rPr>
          <w:rFonts w:cs="Times New Roman"/>
        </w:rPr>
        <w:t>,</w:t>
      </w:r>
      <w:r w:rsidR="000163C5">
        <w:rPr>
          <w:rStyle w:val="Appelnotedebasdep"/>
          <w:rFonts w:cs="Times New Roman"/>
        </w:rPr>
        <w:footnoteReference w:id="4"/>
      </w:r>
      <w:r>
        <w:rPr>
          <w:rFonts w:cs="Times New Roman"/>
        </w:rPr>
        <w:t xml:space="preserve"> Aron </w:t>
      </w:r>
      <w:r w:rsidR="00190360">
        <w:rPr>
          <w:rFonts w:cs="Times New Roman"/>
        </w:rPr>
        <w:t>« </w:t>
      </w:r>
      <w:r w:rsidR="00DF377D" w:rsidRPr="006F6D1E">
        <w:rPr>
          <w:rFonts w:cs="Times New Roman"/>
        </w:rPr>
        <w:t>[</w:t>
      </w:r>
      <w:r>
        <w:rPr>
          <w:rFonts w:cs="Times New Roman"/>
        </w:rPr>
        <w:t>rappelle</w:t>
      </w:r>
      <w:r w:rsidR="00C07871">
        <w:rPr>
          <w:rFonts w:cs="Times New Roman"/>
        </w:rPr>
        <w:t xml:space="preserve"> qu’à partir de l’automne 1973, les</w:t>
      </w:r>
      <w:r w:rsidR="00DF377D" w:rsidRPr="006F6D1E">
        <w:rPr>
          <w:rFonts w:cs="Times New Roman"/>
        </w:rPr>
        <w:t>]</w:t>
      </w:r>
      <w:r>
        <w:rPr>
          <w:rFonts w:cs="Times New Roman"/>
        </w:rPr>
        <w:t xml:space="preserve"> </w:t>
      </w:r>
      <w:r w:rsidR="00C07871">
        <w:rPr>
          <w:rFonts w:cs="Times New Roman"/>
        </w:rPr>
        <w:t xml:space="preserve">économies du monde occidental </w:t>
      </w:r>
      <w:r w:rsidRPr="006F6D1E">
        <w:rPr>
          <w:rFonts w:cs="Times New Roman"/>
        </w:rPr>
        <w:t>[</w:t>
      </w:r>
      <w:r w:rsidR="00C07871">
        <w:rPr>
          <w:rFonts w:cs="Times New Roman"/>
        </w:rPr>
        <w:t>ont souffert</w:t>
      </w:r>
      <w:r w:rsidRPr="006F6D1E">
        <w:rPr>
          <w:rFonts w:cs="Times New Roman"/>
        </w:rPr>
        <w:t>]</w:t>
      </w:r>
      <w:r>
        <w:rPr>
          <w:rFonts w:cs="Times New Roman"/>
        </w:rPr>
        <w:t xml:space="preserve"> </w:t>
      </w:r>
      <w:r w:rsidR="00C07871">
        <w:rPr>
          <w:rFonts w:cs="Times New Roman"/>
        </w:rPr>
        <w:t>toutes en même temps d’une inflation dont le taux moyen (15 %) dépassait le taux jamais observé en temps de paix. L’augmentation brutale du prix des hydrocarbures répandit une grande peur, celle d’une pénurie de l’énergie et des matières premières fautes desquelles la machine industrielle cesserait de tourner. En réponse</w:t>
      </w:r>
      <w:r w:rsidR="00B65121">
        <w:rPr>
          <w:rFonts w:cs="Times New Roman"/>
        </w:rPr>
        <w:t>,</w:t>
      </w:r>
      <w:r w:rsidR="00C07871">
        <w:rPr>
          <w:rFonts w:cs="Times New Roman"/>
        </w:rPr>
        <w:t xml:space="preserve"> </w:t>
      </w:r>
      <w:r w:rsidR="00B65121" w:rsidRPr="006F6D1E">
        <w:rPr>
          <w:rFonts w:cs="Times New Roman"/>
        </w:rPr>
        <w:t>[</w:t>
      </w:r>
      <w:r w:rsidR="00C07871">
        <w:rPr>
          <w:rFonts w:cs="Times New Roman"/>
        </w:rPr>
        <w:t>les</w:t>
      </w:r>
      <w:r w:rsidR="00B65121" w:rsidRPr="006F6D1E">
        <w:rPr>
          <w:rFonts w:cs="Times New Roman"/>
        </w:rPr>
        <w:t>]</w:t>
      </w:r>
      <w:r w:rsidR="00C07871">
        <w:rPr>
          <w:rFonts w:cs="Times New Roman"/>
        </w:rPr>
        <w:t xml:space="preserve"> gouvernements adoptèrent, une fois de plus tous ensemble, une politique de déflation. Une récession, affectant l’économie mondiale, en résulta naturellement. </w:t>
      </w:r>
      <w:r w:rsidR="00B65121">
        <w:rPr>
          <w:rFonts w:cs="Times New Roman"/>
        </w:rPr>
        <w:t xml:space="preserve">Probablement cette récession n’aurait-elle pas frappé l’opinion autant qu’elle le fit si elle n’avait pas succédé à la critique sociale et culturelle des années 1960. </w:t>
      </w:r>
      <w:r w:rsidRPr="006F6D1E">
        <w:rPr>
          <w:rFonts w:cs="Times New Roman"/>
        </w:rPr>
        <w:t>[</w:t>
      </w:r>
      <w:r w:rsidR="00B65121">
        <w:rPr>
          <w:rFonts w:cs="Times New Roman"/>
        </w:rPr>
        <w:t>La</w:t>
      </w:r>
      <w:r w:rsidRPr="006F6D1E">
        <w:rPr>
          <w:rFonts w:cs="Times New Roman"/>
        </w:rPr>
        <w:t>]</w:t>
      </w:r>
      <w:r>
        <w:rPr>
          <w:rFonts w:cs="Times New Roman"/>
        </w:rPr>
        <w:t xml:space="preserve"> </w:t>
      </w:r>
      <w:r w:rsidR="00B65121">
        <w:rPr>
          <w:rFonts w:cs="Times New Roman"/>
        </w:rPr>
        <w:t xml:space="preserve">littérature sociologique ou journalistique </w:t>
      </w:r>
      <w:r w:rsidR="00B65121" w:rsidRPr="006F6D1E">
        <w:rPr>
          <w:rFonts w:cs="Times New Roman"/>
        </w:rPr>
        <w:t>[</w:t>
      </w:r>
      <w:r w:rsidR="00B65121">
        <w:rPr>
          <w:rFonts w:cs="Times New Roman"/>
        </w:rPr>
        <w:t>a</w:t>
      </w:r>
      <w:r w:rsidR="00B65121" w:rsidRPr="006F6D1E">
        <w:rPr>
          <w:rFonts w:cs="Times New Roman"/>
        </w:rPr>
        <w:t>]</w:t>
      </w:r>
      <w:r w:rsidR="00B65121">
        <w:rPr>
          <w:rFonts w:cs="Times New Roman"/>
        </w:rPr>
        <w:t xml:space="preserve"> popularisé </w:t>
      </w:r>
      <w:r w:rsidR="00B65121" w:rsidRPr="006F6D1E">
        <w:rPr>
          <w:rFonts w:cs="Times New Roman"/>
        </w:rPr>
        <w:t>[</w:t>
      </w:r>
      <w:r w:rsidR="00B65121">
        <w:rPr>
          <w:rFonts w:cs="Times New Roman"/>
        </w:rPr>
        <w:t>trois</w:t>
      </w:r>
      <w:r w:rsidR="00B65121" w:rsidRPr="006F6D1E">
        <w:rPr>
          <w:rFonts w:cs="Times New Roman"/>
        </w:rPr>
        <w:t>]</w:t>
      </w:r>
      <w:r w:rsidR="00B65121">
        <w:rPr>
          <w:rFonts w:cs="Times New Roman"/>
        </w:rPr>
        <w:t xml:space="preserve"> thèmes</w:t>
      </w:r>
      <w:r w:rsidR="00943499">
        <w:rPr>
          <w:rFonts w:cs="Times New Roman"/>
        </w:rPr>
        <w:t xml:space="preserve"> : </w:t>
      </w:r>
      <w:r w:rsidR="00943499" w:rsidRPr="006F6D1E">
        <w:rPr>
          <w:rFonts w:cs="Times New Roman"/>
        </w:rPr>
        <w:t>[</w:t>
      </w:r>
      <w:r w:rsidR="00943499">
        <w:rPr>
          <w:rFonts w:cs="Times New Roman"/>
        </w:rPr>
        <w:t>écologique, néo-malthusien et anti-productiviste</w:t>
      </w:r>
      <w:r w:rsidR="00943499" w:rsidRPr="006F6D1E">
        <w:rPr>
          <w:rFonts w:cs="Times New Roman"/>
        </w:rPr>
        <w:t>]</w:t>
      </w:r>
      <w:r w:rsidR="00B65121">
        <w:rPr>
          <w:rFonts w:cs="Times New Roman"/>
        </w:rPr>
        <w:t>.</w:t>
      </w:r>
    </w:p>
    <w:p w14:paraId="50A86A34" w14:textId="4C14FBB6" w:rsidR="00943499" w:rsidRDefault="00943499" w:rsidP="00D73B3E">
      <w:pPr>
        <w:rPr>
          <w:rFonts w:cs="Times New Roman"/>
        </w:rPr>
      </w:pPr>
      <w:r w:rsidRPr="006F6D1E">
        <w:rPr>
          <w:rFonts w:cs="Times New Roman"/>
        </w:rPr>
        <w:t>[</w:t>
      </w:r>
      <w:r>
        <w:rPr>
          <w:rFonts w:cs="Times New Roman"/>
        </w:rPr>
        <w:t>La critique écologique accuse l’industrie de dévaster la nature</w:t>
      </w:r>
      <w:r w:rsidRPr="006F6D1E">
        <w:rPr>
          <w:rFonts w:cs="Times New Roman"/>
        </w:rPr>
        <w:t>]</w:t>
      </w:r>
      <w:r>
        <w:rPr>
          <w:rFonts w:cs="Times New Roman"/>
        </w:rPr>
        <w:t>. Avec des arguments nouveaux et souvent valables, l’acte d’accusation reprend celui des conservateurs ou des contre-révolutionnaires qui détestaient la technique et ses laideurs, les machines et leurs artifices, la rupture du lien entre les hommes et leur milieu originel. »</w:t>
      </w:r>
    </w:p>
    <w:p w14:paraId="464EF9A2" w14:textId="063E7E0B" w:rsidR="00943499" w:rsidRDefault="00190360" w:rsidP="00D73B3E">
      <w:pPr>
        <w:rPr>
          <w:rFonts w:cs="Times New Roman"/>
        </w:rPr>
      </w:pPr>
      <w:r>
        <w:rPr>
          <w:rFonts w:cs="Times New Roman"/>
        </w:rPr>
        <w:lastRenderedPageBreak/>
        <w:t>« </w:t>
      </w:r>
      <w:r w:rsidR="00943499" w:rsidRPr="006F6D1E">
        <w:rPr>
          <w:rFonts w:cs="Times New Roman"/>
        </w:rPr>
        <w:t>[</w:t>
      </w:r>
      <w:r w:rsidR="00943499">
        <w:rPr>
          <w:rFonts w:cs="Times New Roman"/>
        </w:rPr>
        <w:t xml:space="preserve">La critique néo-malthusienne </w:t>
      </w:r>
      <w:r w:rsidR="00C12256">
        <w:rPr>
          <w:rFonts w:cs="Times New Roman"/>
        </w:rPr>
        <w:t>remon</w:t>
      </w:r>
      <w:r w:rsidR="00943499">
        <w:rPr>
          <w:rFonts w:cs="Times New Roman"/>
        </w:rPr>
        <w:t>t</w:t>
      </w:r>
      <w:r w:rsidR="00C12256">
        <w:rPr>
          <w:rFonts w:cs="Times New Roman"/>
        </w:rPr>
        <w:t>e à la révolution industrielle d’Angleterre, qu’accompagna une révolution démographique. Elle a eu un regain de succès avec</w:t>
      </w:r>
      <w:r w:rsidR="00C12256" w:rsidRPr="006F6D1E">
        <w:rPr>
          <w:rFonts w:cs="Times New Roman"/>
        </w:rPr>
        <w:t>]</w:t>
      </w:r>
      <w:r w:rsidR="00C12256">
        <w:rPr>
          <w:rFonts w:cs="Times New Roman"/>
        </w:rPr>
        <w:t xml:space="preserve"> le premier rapport du Club de Rome – modèle presque parfait de la pseudo-science et de la pseudo-rigueur - </w:t>
      </w:r>
      <w:r w:rsidR="00C12256" w:rsidRPr="006F6D1E">
        <w:rPr>
          <w:rFonts w:cs="Times New Roman"/>
        </w:rPr>
        <w:t>[</w:t>
      </w:r>
      <w:r w:rsidR="00C12256">
        <w:rPr>
          <w:rFonts w:cs="Times New Roman"/>
        </w:rPr>
        <w:t>qui</w:t>
      </w:r>
      <w:r w:rsidR="00C12256" w:rsidRPr="006F6D1E">
        <w:rPr>
          <w:rFonts w:cs="Times New Roman"/>
        </w:rPr>
        <w:t>]</w:t>
      </w:r>
      <w:r w:rsidR="00C12256">
        <w:rPr>
          <w:rFonts w:cs="Times New Roman"/>
        </w:rPr>
        <w:t xml:space="preserve"> obtint un immense succès. Jouant avec cinq</w:t>
      </w:r>
      <w:r w:rsidR="00C12256">
        <w:rPr>
          <w:rStyle w:val="Appelnotedebasdep"/>
          <w:rFonts w:cs="Times New Roman"/>
        </w:rPr>
        <w:footnoteReference w:id="5"/>
      </w:r>
      <w:r w:rsidR="00C12256">
        <w:rPr>
          <w:rFonts w:cs="Times New Roman"/>
        </w:rPr>
        <w:t xml:space="preserve"> variables,</w:t>
      </w:r>
      <w:r w:rsidR="005C45E7">
        <w:rPr>
          <w:rFonts w:cs="Times New Roman"/>
        </w:rPr>
        <w:t xml:space="preserve"> sans préciser les rapports postulés entre eux, il prétendait démontrer que la croissance « sauvage » - croissance de la population, de la consommation de ressources non renouvelables et des produits agricoles – conduisait inexorablement à des impossibilités physiques. L’embargo temporaire sur les exportations de pétrole à destination de certains États, le quadruplement du prix des hydrocarbures </w:t>
      </w:r>
      <w:r w:rsidR="005C45E7" w:rsidRPr="006F6D1E">
        <w:rPr>
          <w:rFonts w:cs="Times New Roman"/>
        </w:rPr>
        <w:t>[</w:t>
      </w:r>
      <w:r w:rsidR="005C45E7">
        <w:rPr>
          <w:rFonts w:cs="Times New Roman"/>
        </w:rPr>
        <w:t>n’ont</w:t>
      </w:r>
      <w:r w:rsidR="005C45E7" w:rsidRPr="006F6D1E">
        <w:rPr>
          <w:rFonts w:cs="Times New Roman"/>
        </w:rPr>
        <w:t>]</w:t>
      </w:r>
      <w:r w:rsidR="005C45E7">
        <w:rPr>
          <w:rFonts w:cs="Times New Roman"/>
        </w:rPr>
        <w:t xml:space="preserve"> strictement rien </w:t>
      </w:r>
      <w:r w:rsidR="005C45E7" w:rsidRPr="006F6D1E">
        <w:rPr>
          <w:rFonts w:cs="Times New Roman"/>
        </w:rPr>
        <w:t>[</w:t>
      </w:r>
      <w:r w:rsidR="005C45E7">
        <w:rPr>
          <w:rFonts w:cs="Times New Roman"/>
        </w:rPr>
        <w:t>eu</w:t>
      </w:r>
      <w:r w:rsidR="005C45E7" w:rsidRPr="006F6D1E">
        <w:rPr>
          <w:rFonts w:cs="Times New Roman"/>
        </w:rPr>
        <w:t>]</w:t>
      </w:r>
      <w:r w:rsidR="005C45E7">
        <w:rPr>
          <w:rFonts w:cs="Times New Roman"/>
        </w:rPr>
        <w:t xml:space="preserve"> de commun avec les prévisions ou plutôt les visions du Club de Rome.</w:t>
      </w:r>
      <w:r w:rsidR="005C45E7">
        <w:rPr>
          <w:rStyle w:val="Appelnotedebasdep"/>
          <w:rFonts w:cs="Times New Roman"/>
        </w:rPr>
        <w:footnoteReference w:id="6"/>
      </w:r>
      <w:r w:rsidR="00604AE9">
        <w:rPr>
          <w:rFonts w:cs="Times New Roman"/>
        </w:rPr>
        <w:t xml:space="preserve"> Inévitablement, une confusion se produisit, dans l’esprit du public, entre la pénurie éventuelle de ressources non renouvelables et la cherté soudaine de l’énergie. L’action efficace d’un cartel devint la sonnette d’alarme, le signe avant-coureur d’une catastrophe apocalyptique – à moins d’un changement d’allure ou de direction : terreur de l’an 2000.</w:t>
      </w:r>
    </w:p>
    <w:p w14:paraId="4C900C45" w14:textId="14435ECE" w:rsidR="00943499" w:rsidRDefault="00943499" w:rsidP="00D73B3E">
      <w:pPr>
        <w:rPr>
          <w:rFonts w:cs="Times New Roman"/>
        </w:rPr>
      </w:pPr>
      <w:r w:rsidRPr="006F6D1E">
        <w:rPr>
          <w:rFonts w:cs="Times New Roman"/>
        </w:rPr>
        <w:t>[</w:t>
      </w:r>
      <w:r>
        <w:rPr>
          <w:rFonts w:cs="Times New Roman"/>
        </w:rPr>
        <w:t xml:space="preserve">La critique </w:t>
      </w:r>
      <w:r w:rsidR="00604AE9">
        <w:rPr>
          <w:rFonts w:cs="Times New Roman"/>
        </w:rPr>
        <w:t>du</w:t>
      </w:r>
      <w:r w:rsidR="00604AE9" w:rsidRPr="006F6D1E">
        <w:rPr>
          <w:rFonts w:cs="Times New Roman"/>
        </w:rPr>
        <w:t>]</w:t>
      </w:r>
      <w:r w:rsidR="00604AE9">
        <w:rPr>
          <w:rFonts w:cs="Times New Roman"/>
        </w:rPr>
        <w:t xml:space="preserve"> </w:t>
      </w:r>
      <w:r>
        <w:rPr>
          <w:rFonts w:cs="Times New Roman"/>
        </w:rPr>
        <w:t>productivis</w:t>
      </w:r>
      <w:r w:rsidR="00604AE9">
        <w:rPr>
          <w:rFonts w:cs="Times New Roman"/>
        </w:rPr>
        <w:t>m</w:t>
      </w:r>
      <w:r>
        <w:rPr>
          <w:rFonts w:cs="Times New Roman"/>
        </w:rPr>
        <w:t>e</w:t>
      </w:r>
      <w:r w:rsidR="00604AE9">
        <w:rPr>
          <w:rFonts w:cs="Times New Roman"/>
        </w:rPr>
        <w:t xml:space="preserve"> – dont le prétendu culte de la croissance ne représente qu’un avatar - </w:t>
      </w:r>
      <w:r w:rsidR="00604AE9" w:rsidRPr="006F6D1E">
        <w:rPr>
          <w:rFonts w:cs="Times New Roman"/>
        </w:rPr>
        <w:t>[</w:t>
      </w:r>
      <w:r w:rsidR="00604AE9">
        <w:rPr>
          <w:rFonts w:cs="Times New Roman"/>
        </w:rPr>
        <w:t>n’est pas neuve : il</w:t>
      </w:r>
      <w:r w:rsidR="00604AE9" w:rsidRPr="006F6D1E">
        <w:rPr>
          <w:rFonts w:cs="Times New Roman"/>
        </w:rPr>
        <w:t>]</w:t>
      </w:r>
      <w:r w:rsidR="00604AE9">
        <w:rPr>
          <w:rFonts w:cs="Times New Roman"/>
        </w:rPr>
        <w:t xml:space="preserve"> n’a jamais bénéficié, en Occident, d’un assentiment unanime. Il subit toujours les assauts des nostalgiques du passé, de ceux que l’on appellera indifféremment traditionalistes ou romantiques, </w:t>
      </w:r>
      <w:r w:rsidR="00175C56">
        <w:rPr>
          <w:rFonts w:cs="Times New Roman"/>
        </w:rPr>
        <w:t>arrière-neveux</w:t>
      </w:r>
      <w:r w:rsidR="00604AE9">
        <w:rPr>
          <w:rFonts w:cs="Times New Roman"/>
        </w:rPr>
        <w:t xml:space="preserve"> de J.-J. Rousseau ou des contre-révolutionnaires. La </w:t>
      </w:r>
      <w:r w:rsidR="00175C56">
        <w:rPr>
          <w:rFonts w:cs="Times New Roman"/>
        </w:rPr>
        <w:t>c</w:t>
      </w:r>
      <w:r w:rsidR="00604AE9">
        <w:rPr>
          <w:rFonts w:cs="Times New Roman"/>
        </w:rPr>
        <w:t xml:space="preserve">ritique </w:t>
      </w:r>
      <w:r w:rsidR="00175C56">
        <w:rPr>
          <w:rFonts w:cs="Times New Roman"/>
        </w:rPr>
        <w:t>idéologique ou existentielle de la société industrielle prolonge un courant de pensée qui remonte au moins à la fin du XVIII</w:t>
      </w:r>
      <w:r w:rsidR="00175C56" w:rsidRPr="00175C56">
        <w:rPr>
          <w:rFonts w:cs="Times New Roman"/>
          <w:vertAlign w:val="superscript"/>
        </w:rPr>
        <w:t>ème</w:t>
      </w:r>
      <w:r w:rsidR="00175C56">
        <w:rPr>
          <w:rFonts w:cs="Times New Roman"/>
        </w:rPr>
        <w:t xml:space="preserve"> siècle. </w:t>
      </w:r>
      <w:r w:rsidR="00175C56" w:rsidRPr="006F6D1E">
        <w:rPr>
          <w:rFonts w:cs="Times New Roman"/>
        </w:rPr>
        <w:t>[</w:t>
      </w:r>
      <w:r w:rsidR="00175C56">
        <w:rPr>
          <w:rFonts w:cs="Times New Roman"/>
        </w:rPr>
        <w:t>En réalité</w:t>
      </w:r>
      <w:r w:rsidR="00175C56" w:rsidRPr="006F6D1E">
        <w:rPr>
          <w:rFonts w:cs="Times New Roman"/>
        </w:rPr>
        <w:t>]</w:t>
      </w:r>
      <w:r w:rsidR="00175C56">
        <w:rPr>
          <w:rFonts w:cs="Times New Roman"/>
        </w:rPr>
        <w:t xml:space="preserve"> on découvrit non les limites de la croissance mais les limites des bienfaits que l’on pouvait </w:t>
      </w:r>
      <w:r w:rsidR="00190360">
        <w:rPr>
          <w:rFonts w:cs="Times New Roman"/>
        </w:rPr>
        <w:t xml:space="preserve">en </w:t>
      </w:r>
      <w:r w:rsidR="00175C56">
        <w:rPr>
          <w:rFonts w:cs="Times New Roman"/>
        </w:rPr>
        <w:t>espérer. Celle-ci ne suffit pas à transformer l’ordre établi ; la société se reproduit elle-même, les écarts de rémunération, de prestige, de pouvoir</w:t>
      </w:r>
      <w:r w:rsidR="002175C3">
        <w:rPr>
          <w:rFonts w:cs="Times New Roman"/>
        </w:rPr>
        <w:t>,</w:t>
      </w:r>
      <w:r w:rsidR="00175C56">
        <w:rPr>
          <w:rFonts w:cs="Times New Roman"/>
        </w:rPr>
        <w:t xml:space="preserve"> entre les classes ou les individus demeurent, pour l’essentiel, ce qu’ils étaient. Même l’élévation générale du niveau d’instruction ne modifie que lentement les chances respectives de promotion des jeunes</w:t>
      </w:r>
      <w:r w:rsidR="002175C3">
        <w:rPr>
          <w:rFonts w:cs="Times New Roman"/>
        </w:rPr>
        <w:t xml:space="preserve">, issus des diverses classes </w:t>
      </w:r>
      <w:r w:rsidR="002D650A">
        <w:rPr>
          <w:rFonts w:cs="Times New Roman"/>
        </w:rPr>
        <w:t xml:space="preserve">sociales. Bien plus, </w:t>
      </w:r>
      <w:r w:rsidR="00647C4A">
        <w:rPr>
          <w:rFonts w:cs="Times New Roman"/>
        </w:rPr>
        <w:t>la concurrence pour les places et les privilèges se fait de plus en plus âpre ; la comparaison envieuse du niveau de vie déchaîne une course sans fin qu’aucun groupe ne parvient à gagner.</w:t>
      </w:r>
    </w:p>
    <w:p w14:paraId="4C7FC80D" w14:textId="45AD7686" w:rsidR="00647C4A" w:rsidRDefault="00647C4A" w:rsidP="00D73B3E">
      <w:pPr>
        <w:rPr>
          <w:rFonts w:cs="Times New Roman"/>
        </w:rPr>
      </w:pPr>
      <w:r>
        <w:rPr>
          <w:rFonts w:cs="Times New Roman"/>
        </w:rPr>
        <w:t xml:space="preserve">La crise, au sens de critique ou d’autocritique, </w:t>
      </w:r>
      <w:r w:rsidRPr="006F6D1E">
        <w:rPr>
          <w:rFonts w:cs="Times New Roman"/>
        </w:rPr>
        <w:t>[</w:t>
      </w:r>
      <w:r>
        <w:rPr>
          <w:rFonts w:cs="Times New Roman"/>
        </w:rPr>
        <w:t>paraît à Aron</w:t>
      </w:r>
      <w:r w:rsidRPr="006F6D1E">
        <w:rPr>
          <w:rFonts w:cs="Times New Roman"/>
        </w:rPr>
        <w:t>]</w:t>
      </w:r>
      <w:r>
        <w:rPr>
          <w:rFonts w:cs="Times New Roman"/>
        </w:rPr>
        <w:t xml:space="preserve"> typique de la civilisation occidentale. A cette perpétuelle remise en question, celle-ci doit son originalité et, au cours des siècles, sa force créatrice. La séparation du pouvoir temporel et du pouvoir spirituel empêcha la sacralisation d’institutions éphémères</w:t>
      </w:r>
      <w:r w:rsidR="00853648">
        <w:rPr>
          <w:rFonts w:cs="Times New Roman"/>
        </w:rPr>
        <w:t>, elle entretint l’inquiétude, elle anima la quête d’un accord entre les vertus auxquelles prétendent tous les régimes et celles, plus modestes, auxquelles ils accèdent.</w:t>
      </w:r>
    </w:p>
    <w:p w14:paraId="2CC105CD" w14:textId="3FB14616" w:rsidR="001918A1" w:rsidRDefault="00853648" w:rsidP="00D73B3E">
      <w:pPr>
        <w:rPr>
          <w:rFonts w:cs="Times New Roman"/>
        </w:rPr>
      </w:pPr>
      <w:r>
        <w:rPr>
          <w:rFonts w:cs="Times New Roman"/>
        </w:rPr>
        <w:t>Ni la récession, ni la stagflation, ni l’ébranlement de l’Église et de l’Université n’impliquent ou n’annoncent un déclin, économique ou moral, de l’Europe occidentale.</w:t>
      </w:r>
      <w:r w:rsidR="00620B55">
        <w:rPr>
          <w:rFonts w:cs="Times New Roman"/>
        </w:rPr>
        <w:t xml:space="preserve"> </w:t>
      </w:r>
      <w:r w:rsidR="00620B55" w:rsidRPr="006F6D1E">
        <w:rPr>
          <w:rFonts w:cs="Times New Roman"/>
        </w:rPr>
        <w:t>[</w:t>
      </w:r>
      <w:r w:rsidR="00620B55">
        <w:rPr>
          <w:rFonts w:cs="Times New Roman"/>
        </w:rPr>
        <w:t>Mais grandeur</w:t>
      </w:r>
      <w:r w:rsidR="00620B55" w:rsidRPr="006F6D1E">
        <w:rPr>
          <w:rFonts w:cs="Times New Roman"/>
        </w:rPr>
        <w:t>]</w:t>
      </w:r>
      <w:r w:rsidR="00620B55">
        <w:rPr>
          <w:rFonts w:cs="Times New Roman"/>
        </w:rPr>
        <w:t xml:space="preserve"> </w:t>
      </w:r>
      <w:r w:rsidR="001918A1">
        <w:rPr>
          <w:rFonts w:cs="Times New Roman"/>
        </w:rPr>
        <w:t xml:space="preserve">et fragilité ne se séparent pas : les régimes de l’Occident payent le libéralisme par l’instabilité, </w:t>
      </w:r>
      <w:r w:rsidR="00190360">
        <w:rPr>
          <w:rFonts w:cs="Times New Roman"/>
        </w:rPr>
        <w:t xml:space="preserve">par </w:t>
      </w:r>
      <w:r w:rsidR="001918A1">
        <w:rPr>
          <w:rFonts w:cs="Times New Roman"/>
        </w:rPr>
        <w:t>la complexité de l’organisation, par des crises. Nous n’envions certes pas la façade polie des despotismes bureaucratiques ; nous voudrions sauver la liberté d’elle-même</w:t>
      </w:r>
      <w:r>
        <w:rPr>
          <w:rFonts w:cs="Times New Roman"/>
        </w:rPr>
        <w:t>.</w:t>
      </w:r>
    </w:p>
    <w:p w14:paraId="29F188FB" w14:textId="77777777" w:rsidR="002C6019" w:rsidRDefault="001918A1" w:rsidP="00D73B3E">
      <w:pPr>
        <w:rPr>
          <w:rFonts w:cs="Times New Roman"/>
        </w:rPr>
      </w:pPr>
      <w:r>
        <w:rPr>
          <w:rFonts w:cs="Times New Roman"/>
        </w:rPr>
        <w:t>Il dépend des Européens que la crise demeure un incident de parcours et ne devienne pas une étape du déclin.</w:t>
      </w:r>
    </w:p>
    <w:p w14:paraId="2989D2AE" w14:textId="55B9596A" w:rsidR="00853648" w:rsidRDefault="00190360" w:rsidP="00D73B3E">
      <w:pPr>
        <w:rPr>
          <w:rFonts w:cs="Times New Roman"/>
        </w:rPr>
      </w:pPr>
      <w:r w:rsidRPr="006F6D1E">
        <w:rPr>
          <w:rFonts w:cs="Times New Roman"/>
        </w:rPr>
        <w:t>[</w:t>
      </w:r>
      <w:r w:rsidR="00536806">
        <w:rPr>
          <w:rFonts w:cs="Times New Roman"/>
        </w:rPr>
        <w:t>Aron rappelle</w:t>
      </w:r>
      <w:r w:rsidR="00536806" w:rsidRPr="006F6D1E">
        <w:rPr>
          <w:rFonts w:cs="Times New Roman"/>
        </w:rPr>
        <w:t>]</w:t>
      </w:r>
      <w:r w:rsidR="00536806">
        <w:rPr>
          <w:rFonts w:cs="Times New Roman"/>
        </w:rPr>
        <w:t xml:space="preserve"> la contradiction interne aux régimes que nous appelons démocratiques : le pouvoir résulte de la rivalité entre des partis qui visent des objectifs différents et parfois incompatibles ; les constitutions n’interdisent pas aux partis qui, éventuellement, supprimeraient la compétition, de participer à celle-ci. </w:t>
      </w:r>
      <w:r w:rsidR="00536806" w:rsidRPr="006F6D1E">
        <w:rPr>
          <w:rFonts w:cs="Times New Roman"/>
        </w:rPr>
        <w:t>[</w:t>
      </w:r>
      <w:r w:rsidR="00536806">
        <w:rPr>
          <w:rFonts w:cs="Times New Roman"/>
        </w:rPr>
        <w:t>Au-delà</w:t>
      </w:r>
      <w:r w:rsidR="00536806" w:rsidRPr="006F6D1E">
        <w:rPr>
          <w:rFonts w:cs="Times New Roman"/>
        </w:rPr>
        <w:t>]</w:t>
      </w:r>
      <w:r w:rsidR="00536806">
        <w:rPr>
          <w:rFonts w:cs="Times New Roman"/>
        </w:rPr>
        <w:t xml:space="preserve"> de la contradiction propre au régime pluraliste qui tolère l’action des partis hostiles au pluralisme, beaucoup se posent une question de plus vaste portée. Les sociétés démocratico-libérales sont-elles encore gouvernables ? </w:t>
      </w:r>
      <w:r w:rsidR="00F44632" w:rsidRPr="006F6D1E">
        <w:rPr>
          <w:rFonts w:cs="Times New Roman"/>
        </w:rPr>
        <w:t>[</w:t>
      </w:r>
      <w:r w:rsidR="00F44632">
        <w:rPr>
          <w:rFonts w:cs="Times New Roman"/>
        </w:rPr>
        <w:t>Pour y répondre, Aron rappelle que le pluralisme</w:t>
      </w:r>
      <w:r w:rsidR="00F44632" w:rsidRPr="006F6D1E">
        <w:rPr>
          <w:rFonts w:cs="Times New Roman"/>
        </w:rPr>
        <w:t>]</w:t>
      </w:r>
      <w:r w:rsidR="00F44632">
        <w:rPr>
          <w:rFonts w:cs="Times New Roman"/>
        </w:rPr>
        <w:t xml:space="preserve"> ce n’est pas </w:t>
      </w:r>
      <w:r w:rsidR="00F44632" w:rsidRPr="00F44632">
        <w:rPr>
          <w:rFonts w:cs="Times New Roman"/>
          <w:i/>
          <w:iCs/>
        </w:rPr>
        <w:t>essentiellement</w:t>
      </w:r>
      <w:r w:rsidR="00F44632">
        <w:rPr>
          <w:rFonts w:cs="Times New Roman"/>
        </w:rPr>
        <w:t xml:space="preserve"> la concurrence des partis, c’est le refus de l’unanimité factice, du conformisme intellectuel imposé par une idéologie, incarnée dans un parti ou dans un homme, principe tout à la fois de </w:t>
      </w:r>
      <w:r w:rsidR="00F44632">
        <w:rPr>
          <w:rFonts w:cs="Times New Roman"/>
        </w:rPr>
        <w:lastRenderedPageBreak/>
        <w:t xml:space="preserve">fanatisme et de scepticisme. </w:t>
      </w:r>
      <w:r w:rsidR="00F44632" w:rsidRPr="006F6D1E">
        <w:rPr>
          <w:rFonts w:cs="Times New Roman"/>
        </w:rPr>
        <w:t>[</w:t>
      </w:r>
      <w:r w:rsidR="00F44632">
        <w:rPr>
          <w:rFonts w:cs="Times New Roman"/>
        </w:rPr>
        <w:t>Il constate que « Pas de liberté pour les ennemis de la liberté » peut servir de fondement à la terreur, mais que la démocratie doit pouvoir se défendre.</w:t>
      </w:r>
      <w:r w:rsidR="00FE22A6">
        <w:rPr>
          <w:rFonts w:cs="Times New Roman"/>
        </w:rPr>
        <w:t xml:space="preserve"> Elle</w:t>
      </w:r>
      <w:r w:rsidR="00F44632" w:rsidRPr="006F6D1E">
        <w:rPr>
          <w:rFonts w:cs="Times New Roman"/>
        </w:rPr>
        <w:t>]</w:t>
      </w:r>
      <w:r w:rsidR="00F44632">
        <w:rPr>
          <w:rFonts w:cs="Times New Roman"/>
        </w:rPr>
        <w:t xml:space="preserve"> </w:t>
      </w:r>
      <w:r w:rsidR="00FE22A6">
        <w:rPr>
          <w:rFonts w:cs="Times New Roman"/>
        </w:rPr>
        <w:t>tend à créer un pouvoir légitime, appuyé sur le consentement de la majorité, grâce à des procédures électorales. Elle suppose un consensus sur le régime, sinon sur la politique que les gouvernants devraient mener.</w:t>
      </w:r>
      <w:r w:rsidR="00BE6AFA">
        <w:rPr>
          <w:rFonts w:cs="Times New Roman"/>
        </w:rPr>
        <w:t> »</w:t>
      </w:r>
    </w:p>
    <w:p w14:paraId="15B19174" w14:textId="65176AFE" w:rsidR="001918A1" w:rsidRDefault="001918A1" w:rsidP="00D73B3E">
      <w:pPr>
        <w:rPr>
          <w:rFonts w:cs="Times New Roman"/>
        </w:rPr>
      </w:pPr>
      <w:r>
        <w:rPr>
          <w:rFonts w:cs="Times New Roman"/>
        </w:rPr>
        <w:t>Après la parution du « </w:t>
      </w:r>
      <w:r w:rsidRPr="00F1608A">
        <w:rPr>
          <w:rFonts w:cs="Times New Roman"/>
        </w:rPr>
        <w:t>Plaidoyer pour l’Europe décadente</w:t>
      </w:r>
      <w:r>
        <w:rPr>
          <w:rFonts w:cs="Times New Roman"/>
        </w:rPr>
        <w:t xml:space="preserve"> », </w:t>
      </w:r>
      <w:r w:rsidR="00BE6AFA">
        <w:rPr>
          <w:rFonts w:cs="Times New Roman"/>
        </w:rPr>
        <w:t xml:space="preserve">des Européens ont veillé à ce que la crise née en 1973 demeure un incident de parcours et ne devienne pas une étape du déclin. Grâce à cela, nous avons pu assister à </w:t>
      </w:r>
      <w:r>
        <w:rPr>
          <w:rFonts w:cs="Times New Roman"/>
        </w:rPr>
        <w:t>l</w:t>
      </w:r>
      <w:r w:rsidR="00BE6AFA">
        <w:rPr>
          <w:rFonts w:cs="Times New Roman"/>
        </w:rPr>
        <w:t>a</w:t>
      </w:r>
      <w:r>
        <w:rPr>
          <w:rFonts w:cs="Times New Roman"/>
        </w:rPr>
        <w:t xml:space="preserve"> </w:t>
      </w:r>
      <w:r w:rsidR="00BE6AFA">
        <w:rPr>
          <w:rFonts w:cs="Times New Roman"/>
        </w:rPr>
        <w:t>ch</w:t>
      </w:r>
      <w:r>
        <w:rPr>
          <w:rFonts w:cs="Times New Roman"/>
        </w:rPr>
        <w:t>u</w:t>
      </w:r>
      <w:r w:rsidR="00BE6AFA">
        <w:rPr>
          <w:rFonts w:cs="Times New Roman"/>
        </w:rPr>
        <w:t>te de mu</w:t>
      </w:r>
      <w:r>
        <w:rPr>
          <w:rFonts w:cs="Times New Roman"/>
        </w:rPr>
        <w:t>r de Berlin</w:t>
      </w:r>
      <w:r w:rsidR="00BE6AFA">
        <w:rPr>
          <w:rFonts w:cs="Times New Roman"/>
        </w:rPr>
        <w:t xml:space="preserve"> et</w:t>
      </w:r>
      <w:r>
        <w:rPr>
          <w:rFonts w:cs="Times New Roman"/>
        </w:rPr>
        <w:t xml:space="preserve"> </w:t>
      </w:r>
      <w:r w:rsidR="00BE6AFA">
        <w:rPr>
          <w:rFonts w:cs="Times New Roman"/>
        </w:rPr>
        <w:t>à</w:t>
      </w:r>
      <w:r>
        <w:rPr>
          <w:rFonts w:cs="Times New Roman"/>
        </w:rPr>
        <w:t xml:space="preserve"> </w:t>
      </w:r>
      <w:r w:rsidR="00BE6AFA">
        <w:rPr>
          <w:rFonts w:cs="Times New Roman"/>
        </w:rPr>
        <w:t>l’</w:t>
      </w:r>
      <w:r>
        <w:rPr>
          <w:rFonts w:cs="Times New Roman"/>
        </w:rPr>
        <w:t>implos</w:t>
      </w:r>
      <w:r w:rsidR="00BE6AFA">
        <w:rPr>
          <w:rFonts w:cs="Times New Roman"/>
        </w:rPr>
        <w:t>ion de l’Union soviétique. L</w:t>
      </w:r>
      <w:r>
        <w:rPr>
          <w:rFonts w:cs="Times New Roman"/>
        </w:rPr>
        <w:t>’Europe occidentale a produit l’Acte unique européen, la zone Schengen</w:t>
      </w:r>
      <w:r w:rsidR="00BE6AFA">
        <w:rPr>
          <w:rFonts w:cs="Times New Roman"/>
        </w:rPr>
        <w:t xml:space="preserve"> et</w:t>
      </w:r>
      <w:r>
        <w:rPr>
          <w:rFonts w:cs="Times New Roman"/>
        </w:rPr>
        <w:t xml:space="preserve"> la monnaie unique</w:t>
      </w:r>
      <w:r w:rsidR="00BE6AFA">
        <w:rPr>
          <w:rFonts w:cs="Times New Roman"/>
        </w:rPr>
        <w:t>. L’OTAN et l’Union européenne se</w:t>
      </w:r>
      <w:r>
        <w:rPr>
          <w:rFonts w:cs="Times New Roman"/>
        </w:rPr>
        <w:t xml:space="preserve"> s</w:t>
      </w:r>
      <w:r w:rsidR="00BE6AFA">
        <w:rPr>
          <w:rFonts w:cs="Times New Roman"/>
        </w:rPr>
        <w:t>on</w:t>
      </w:r>
      <w:r>
        <w:rPr>
          <w:rFonts w:cs="Times New Roman"/>
        </w:rPr>
        <w:t>t élargie</w:t>
      </w:r>
      <w:r w:rsidR="00BE6AFA">
        <w:rPr>
          <w:rFonts w:cs="Times New Roman"/>
        </w:rPr>
        <w:t>s</w:t>
      </w:r>
      <w:r>
        <w:rPr>
          <w:rFonts w:cs="Times New Roman"/>
        </w:rPr>
        <w:t xml:space="preserve"> à l’Europe centrale et orientale, mais </w:t>
      </w:r>
      <w:r w:rsidR="00BE6AFA">
        <w:rPr>
          <w:rFonts w:cs="Times New Roman"/>
        </w:rPr>
        <w:t xml:space="preserve">les Européens </w:t>
      </w:r>
      <w:r w:rsidR="00A926E3">
        <w:rPr>
          <w:rFonts w:cs="Times New Roman"/>
        </w:rPr>
        <w:t>ont</w:t>
      </w:r>
      <w:r>
        <w:rPr>
          <w:rFonts w:cs="Times New Roman"/>
        </w:rPr>
        <w:t xml:space="preserve"> négligé d’approfondir la construction européenne par la mise en place de la Fédération annoncée par Schuman le 9 mai 1950. La conséquence en est </w:t>
      </w:r>
      <w:r w:rsidR="00BE6AFA">
        <w:rPr>
          <w:rFonts w:cs="Times New Roman"/>
        </w:rPr>
        <w:t>l</w:t>
      </w:r>
      <w:r>
        <w:rPr>
          <w:rFonts w:cs="Times New Roman"/>
        </w:rPr>
        <w:t>a fragilisation</w:t>
      </w:r>
      <w:r w:rsidR="00BE6AFA">
        <w:rPr>
          <w:rFonts w:cs="Times New Roman"/>
        </w:rPr>
        <w:t xml:space="preserve"> de l’€ et le</w:t>
      </w:r>
      <w:r>
        <w:rPr>
          <w:rFonts w:cs="Times New Roman"/>
        </w:rPr>
        <w:t xml:space="preserve"> déclassement </w:t>
      </w:r>
      <w:r w:rsidR="00BE6AFA">
        <w:rPr>
          <w:rFonts w:cs="Times New Roman"/>
        </w:rPr>
        <w:t>de l’Europe mis en évidence</w:t>
      </w:r>
      <w:r>
        <w:rPr>
          <w:rFonts w:cs="Times New Roman"/>
        </w:rPr>
        <w:t xml:space="preserve"> par les rapports Letta, Draghi et Nii</w:t>
      </w:r>
      <w:r w:rsidR="00BE6AFA">
        <w:rPr>
          <w:rFonts w:cs="Times New Roman"/>
        </w:rPr>
        <w:t>ni</w:t>
      </w:r>
      <w:r>
        <w:rPr>
          <w:rFonts w:cs="Times New Roman"/>
        </w:rPr>
        <w:t>st</w:t>
      </w:r>
      <w:r w:rsidR="00BE6AFA">
        <w:rPr>
          <w:rFonts w:cs="Times New Roman"/>
        </w:rPr>
        <w:t>ö</w:t>
      </w:r>
      <w:r>
        <w:rPr>
          <w:rFonts w:cs="Times New Roman"/>
        </w:rPr>
        <w:t xml:space="preserve">. Si ceux-ci ne sont pas suivis d’actions correctrices de la trajectoire actuelle, l’Europe risque fort d’aller </w:t>
      </w:r>
      <w:r w:rsidR="00BE6AFA">
        <w:rPr>
          <w:rFonts w:cs="Times New Roman"/>
        </w:rPr>
        <w:t xml:space="preserve">encore </w:t>
      </w:r>
      <w:r>
        <w:rPr>
          <w:rFonts w:cs="Times New Roman"/>
        </w:rPr>
        <w:t>un pas plus loin vers son déclin.</w:t>
      </w:r>
    </w:p>
    <w:p w14:paraId="480E34B0" w14:textId="4D883CD2" w:rsidR="00B96DAF" w:rsidRDefault="00B96DAF" w:rsidP="004D4457">
      <w:pPr>
        <w:rPr>
          <w:rFonts w:cs="Times New Roman"/>
        </w:rPr>
      </w:pPr>
      <w:r>
        <w:rPr>
          <w:rFonts w:cs="Times New Roman"/>
        </w:rPr>
        <w:t xml:space="preserve">Mais, comme </w:t>
      </w:r>
      <w:r w:rsidR="000E718F">
        <w:rPr>
          <w:rFonts w:cs="Times New Roman"/>
        </w:rPr>
        <w:t xml:space="preserve">Aron </w:t>
      </w:r>
      <w:r>
        <w:rPr>
          <w:rFonts w:cs="Times New Roman"/>
        </w:rPr>
        <w:t xml:space="preserve">l’a </w:t>
      </w:r>
      <w:r w:rsidR="000E718F">
        <w:rPr>
          <w:rFonts w:cs="Times New Roman"/>
        </w:rPr>
        <w:t>écrit, p. 454, « L’histoire des peuples ne se déroule pas en ligne droite, sur une surface pla</w:t>
      </w:r>
      <w:r w:rsidR="00A926E3">
        <w:rPr>
          <w:rFonts w:cs="Times New Roman"/>
        </w:rPr>
        <w:t>n</w:t>
      </w:r>
      <w:r w:rsidR="000E718F">
        <w:rPr>
          <w:rFonts w:cs="Times New Roman"/>
        </w:rPr>
        <w:t xml:space="preserve">e ; un peuple s’affirme en surmontant les épreuves que lui réservent ses échecs aussi bien que succès, il progresse de crise en crise. » </w:t>
      </w:r>
    </w:p>
    <w:p w14:paraId="0C38137C" w14:textId="7E1A0A68" w:rsidR="000E718F" w:rsidRDefault="000E718F" w:rsidP="004D4457">
      <w:pPr>
        <w:rPr>
          <w:rFonts w:cs="Times New Roman"/>
        </w:rPr>
      </w:pPr>
      <w:r>
        <w:rPr>
          <w:rFonts w:cs="Times New Roman"/>
        </w:rPr>
        <w:t>Espérons qu’en 2025, quelques gouvernants d’Europe aient enfin le courage de fédérer leurs États. Pour les y aider, qu’ils se rappelle</w:t>
      </w:r>
      <w:r w:rsidR="00B96DAF">
        <w:rPr>
          <w:rFonts w:cs="Times New Roman"/>
        </w:rPr>
        <w:t>nt</w:t>
      </w:r>
      <w:r>
        <w:rPr>
          <w:rFonts w:cs="Times New Roman"/>
        </w:rPr>
        <w:t xml:space="preserve"> ce que Aron écri</w:t>
      </w:r>
      <w:r w:rsidR="00B96DAF">
        <w:rPr>
          <w:rFonts w:cs="Times New Roman"/>
        </w:rPr>
        <w:t>vai</w:t>
      </w:r>
      <w:r>
        <w:rPr>
          <w:rFonts w:cs="Times New Roman"/>
        </w:rPr>
        <w:t>t, p. 457 : « La civilisation de jouissance se condamne elle-même à mort lorsqu’elle se désintéresse de l’avenir. ».</w:t>
      </w:r>
    </w:p>
    <w:p w14:paraId="5D1E5D4C" w14:textId="77777777" w:rsidR="00B96DAF" w:rsidRDefault="00B96DAF" w:rsidP="00B96DAF">
      <w:pPr>
        <w:rPr>
          <w:rFonts w:cs="Times New Roman"/>
        </w:rPr>
      </w:pPr>
      <w:r>
        <w:rPr>
          <w:rFonts w:cs="Times New Roman"/>
        </w:rPr>
        <w:t>Qui s’intéresse à l’avenir envisage les besoins de Formation. Aron a rappelé, p. 446-447, ce qu’avait écrit Joseph Schumpeter. « </w:t>
      </w:r>
      <w:r w:rsidRPr="006F6D1E">
        <w:rPr>
          <w:rFonts w:cs="Times New Roman"/>
        </w:rPr>
        <w:t>[</w:t>
      </w:r>
      <w:r>
        <w:rPr>
          <w:rFonts w:cs="Times New Roman"/>
        </w:rPr>
        <w:t>Il jugeait que</w:t>
      </w:r>
      <w:r w:rsidRPr="006F6D1E">
        <w:rPr>
          <w:rFonts w:cs="Times New Roman"/>
        </w:rPr>
        <w:t>]</w:t>
      </w:r>
      <w:r>
        <w:rPr>
          <w:rFonts w:cs="Times New Roman"/>
        </w:rPr>
        <w:t xml:space="preserve"> ce qui crée le contexte social à la faveur duquel prospère l’économie libérale, </w:t>
      </w:r>
      <w:r w:rsidRPr="006F6D1E">
        <w:rPr>
          <w:rFonts w:cs="Times New Roman"/>
        </w:rPr>
        <w:t>[</w:t>
      </w:r>
      <w:r>
        <w:rPr>
          <w:rFonts w:cs="Times New Roman"/>
        </w:rPr>
        <w:t>ce</w:t>
      </w:r>
      <w:r w:rsidRPr="006F6D1E">
        <w:rPr>
          <w:rFonts w:cs="Times New Roman"/>
        </w:rPr>
        <w:t>]</w:t>
      </w:r>
      <w:r>
        <w:rPr>
          <w:rFonts w:cs="Times New Roman"/>
        </w:rPr>
        <w:t xml:space="preserve"> sont les survivances de l’Ancien Régime, d’un ordre social fondé sur des attitudes et des convictions radicalement distinctes de celles des marchands, des entrepreneurs et des économistes. Ni la recherche du profit, ni le calcul utilitaire ne donneront aux fonctionnaires, aux inspecteurs de police ou de finances, la moralité nécessaire à leur fonction. Désintéressement, sacrifice de la vie, dévouement à la chose publique sans autre sanction que la bonne conscience, toutes ces vertus appartiennent à un univers de tradition, elles semblent étrangères aux motifs des acteurs typiques de la civilisation moderne, qu’il s’agisse du désir de jouir, propre au consommateur, ou de l’ambition prométhéenne des producteurs. »</w:t>
      </w:r>
    </w:p>
    <w:p w14:paraId="0FFCFDF4" w14:textId="7FC067B3" w:rsidR="00B96DAF" w:rsidRDefault="00B96DAF" w:rsidP="004D4457">
      <w:pPr>
        <w:rPr>
          <w:rFonts w:cs="Times New Roman"/>
        </w:rPr>
      </w:pPr>
      <w:r>
        <w:rPr>
          <w:rFonts w:cs="Times New Roman"/>
        </w:rPr>
        <w:t>Schumpeter n’a pas toujours eu raison : il prévoyait la victoire du communisme sur le libéralisme. Je peux témoigner qu’il est parfaitement possible de dispenser des formations qui inculquent des connaissances, des aptitudes et des attitudes, conciliant le maintien des traditions visant à promouvoir le souci de l’intérêt général</w:t>
      </w:r>
      <w:r w:rsidR="00BF4945">
        <w:rPr>
          <w:rFonts w:cs="Times New Roman"/>
        </w:rPr>
        <w:t xml:space="preserve"> et l’esprit d’équipe</w:t>
      </w:r>
      <w:r>
        <w:rPr>
          <w:rFonts w:cs="Times New Roman"/>
        </w:rPr>
        <w:t>, tout en étant compatibles avec notre époque que certains qualifient de postmoderne. C’est ce que font les écoles militaires, notamment. C’est ce que font aussi certaines Hautes Écoles de Commerce, car dans le secteur marchand également, beaucoup dépend de l’établissement de relations de confiance et la cupidité n’est pas propice à cela.</w:t>
      </w:r>
    </w:p>
    <w:sectPr w:rsidR="00B96DAF" w:rsidSect="008B1DD3">
      <w:headerReference w:type="even" r:id="rId7"/>
      <w:headerReference w:type="default" r:id="rId8"/>
      <w:pgSz w:w="11900" w:h="16840"/>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CCA09" w14:textId="77777777" w:rsidR="00690271" w:rsidRDefault="00690271" w:rsidP="005B35E5">
      <w:pPr>
        <w:spacing w:after="0"/>
      </w:pPr>
      <w:r>
        <w:separator/>
      </w:r>
    </w:p>
  </w:endnote>
  <w:endnote w:type="continuationSeparator" w:id="0">
    <w:p w14:paraId="6B3DD407" w14:textId="77777777" w:rsidR="00690271" w:rsidRDefault="00690271" w:rsidP="005B35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orp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SimSun">
    <w:panose1 w:val="020B0604020202020204"/>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altName w:val="Times New Roman"/>
    <w:panose1 w:val="00000500000000020000"/>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B6D53" w14:textId="77777777" w:rsidR="00690271" w:rsidRDefault="00690271" w:rsidP="005B35E5">
      <w:pPr>
        <w:spacing w:after="0"/>
      </w:pPr>
      <w:r>
        <w:separator/>
      </w:r>
    </w:p>
  </w:footnote>
  <w:footnote w:type="continuationSeparator" w:id="0">
    <w:p w14:paraId="1DC53103" w14:textId="77777777" w:rsidR="00690271" w:rsidRDefault="00690271" w:rsidP="005B35E5">
      <w:pPr>
        <w:spacing w:after="0"/>
      </w:pPr>
      <w:r>
        <w:continuationSeparator/>
      </w:r>
    </w:p>
  </w:footnote>
  <w:footnote w:id="1">
    <w:p w14:paraId="4CD6AD3D" w14:textId="2F0D5436" w:rsidR="0062348E" w:rsidRPr="0062348E" w:rsidRDefault="0062348E" w:rsidP="00C07871">
      <w:pPr>
        <w:pStyle w:val="Notedebasdepage"/>
        <w:spacing w:after="0"/>
        <w:jc w:val="left"/>
        <w:rPr>
          <w:lang w:val="fr-BE"/>
        </w:rPr>
      </w:pPr>
      <w:r>
        <w:rPr>
          <w:rStyle w:val="Appelnotedebasdep"/>
        </w:rPr>
        <w:footnoteRef/>
      </w:r>
      <w:r>
        <w:t xml:space="preserve"> </w:t>
      </w:r>
      <w:r w:rsidRPr="0062348E">
        <w:t>Raymond Aron,</w:t>
      </w:r>
      <w:r>
        <w:t xml:space="preserve"> </w:t>
      </w:r>
      <w:r w:rsidRPr="0062348E">
        <w:rPr>
          <w:i/>
          <w:iCs/>
        </w:rPr>
        <w:t>Plaidoyer pour l’Europe décadente</w:t>
      </w:r>
      <w:r w:rsidRPr="0062348E">
        <w:t>, Paris, Éditions Robert Laffont, 1977.</w:t>
      </w:r>
    </w:p>
  </w:footnote>
  <w:footnote w:id="2">
    <w:p w14:paraId="70EA930E" w14:textId="451E3B2C" w:rsidR="000163C5" w:rsidRPr="0062348E" w:rsidRDefault="000163C5" w:rsidP="000163C5">
      <w:pPr>
        <w:pStyle w:val="Notedebasdepage"/>
        <w:spacing w:after="0"/>
        <w:jc w:val="left"/>
        <w:rPr>
          <w:lang w:val="fr-BE"/>
        </w:rPr>
      </w:pPr>
      <w:r>
        <w:rPr>
          <w:rStyle w:val="Appelnotedebasdep"/>
        </w:rPr>
        <w:footnoteRef/>
      </w:r>
      <w:r>
        <w:t xml:space="preserve"> </w:t>
      </w:r>
      <w:r w:rsidR="0029304C">
        <w:t>Idem,</w:t>
      </w:r>
      <w:r>
        <w:t xml:space="preserve"> </w:t>
      </w:r>
      <w:r>
        <w:rPr>
          <w:rFonts w:cs="Times New Roman"/>
        </w:rPr>
        <w:t>p. 31-153</w:t>
      </w:r>
      <w:r w:rsidRPr="0062348E">
        <w:t>.</w:t>
      </w:r>
    </w:p>
  </w:footnote>
  <w:footnote w:id="3">
    <w:p w14:paraId="16E4EDD8" w14:textId="54CF0FA3" w:rsidR="000163C5" w:rsidRPr="002D650A" w:rsidRDefault="000163C5" w:rsidP="000163C5">
      <w:pPr>
        <w:pStyle w:val="Notedebasdepage"/>
        <w:spacing w:after="0"/>
        <w:jc w:val="left"/>
        <w:rPr>
          <w:lang w:val="fr-BE"/>
        </w:rPr>
      </w:pPr>
      <w:r>
        <w:rPr>
          <w:rStyle w:val="Appelnotedebasdep"/>
        </w:rPr>
        <w:footnoteRef/>
      </w:r>
      <w:r>
        <w:t xml:space="preserve"> </w:t>
      </w:r>
      <w:r w:rsidRPr="002D650A">
        <w:rPr>
          <w:lang w:val="fr-BE"/>
        </w:rPr>
        <w:t>Idem, p. 155-308.</w:t>
      </w:r>
    </w:p>
  </w:footnote>
  <w:footnote w:id="4">
    <w:p w14:paraId="294D3448" w14:textId="504FBB2A" w:rsidR="000163C5" w:rsidRPr="00C12256" w:rsidRDefault="000163C5" w:rsidP="000163C5">
      <w:pPr>
        <w:pStyle w:val="Notedebasdepage"/>
        <w:spacing w:after="0"/>
        <w:jc w:val="left"/>
        <w:rPr>
          <w:lang w:val="fr-BE"/>
        </w:rPr>
      </w:pPr>
      <w:r>
        <w:rPr>
          <w:rStyle w:val="Appelnotedebasdep"/>
        </w:rPr>
        <w:footnoteRef/>
      </w:r>
      <w:r>
        <w:t xml:space="preserve"> </w:t>
      </w:r>
      <w:r w:rsidRPr="00C12256">
        <w:rPr>
          <w:lang w:val="fr-BE"/>
        </w:rPr>
        <w:t>Idem, p. 309-457.</w:t>
      </w:r>
    </w:p>
  </w:footnote>
  <w:footnote w:id="5">
    <w:p w14:paraId="09671C69" w14:textId="097D78FB" w:rsidR="00C12256" w:rsidRPr="00C12256" w:rsidRDefault="00C12256" w:rsidP="00C12256">
      <w:pPr>
        <w:pStyle w:val="Notedebasdepage"/>
        <w:spacing w:after="0"/>
        <w:jc w:val="left"/>
        <w:rPr>
          <w:lang w:val="fr-BE"/>
        </w:rPr>
      </w:pPr>
      <w:r>
        <w:rPr>
          <w:rStyle w:val="Appelnotedebasdep"/>
        </w:rPr>
        <w:footnoteRef/>
      </w:r>
      <w:r>
        <w:rPr>
          <w:lang w:val="fr-BE"/>
        </w:rPr>
        <w:t xml:space="preserve"> Population, nourriture, production industrielle, ressources</w:t>
      </w:r>
      <w:r w:rsidR="005C45E7">
        <w:rPr>
          <w:lang w:val="fr-BE"/>
        </w:rPr>
        <w:t xml:space="preserve"> non renouvelables, pollution.</w:t>
      </w:r>
    </w:p>
  </w:footnote>
  <w:footnote w:id="6">
    <w:p w14:paraId="1523CB9D" w14:textId="12C43D6C" w:rsidR="005C45E7" w:rsidRPr="00604AE9" w:rsidRDefault="005C45E7" w:rsidP="005C45E7">
      <w:pPr>
        <w:pStyle w:val="Notedebasdepage"/>
        <w:spacing w:after="0"/>
        <w:jc w:val="left"/>
        <w:rPr>
          <w:lang w:val="fr-BE"/>
        </w:rPr>
      </w:pPr>
      <w:r>
        <w:rPr>
          <w:rStyle w:val="Appelnotedebasdep"/>
        </w:rPr>
        <w:footnoteRef/>
      </w:r>
      <w:r>
        <w:t xml:space="preserve"> </w:t>
      </w:r>
      <w:r w:rsidRPr="00604AE9">
        <w:rPr>
          <w:lang w:val="fr-BE"/>
        </w:rPr>
        <w:t>I</w:t>
      </w:r>
      <w:r w:rsidR="00604AE9" w:rsidRPr="00604AE9">
        <w:rPr>
          <w:lang w:val="fr-BE"/>
        </w:rPr>
        <w:t>ls étaient une des conséquences de la guerre israélo-a</w:t>
      </w:r>
      <w:r w:rsidR="00604AE9">
        <w:rPr>
          <w:lang w:val="fr-BE"/>
        </w:rPr>
        <w:t>rabe de 1973, dite du « Yom Kippour »</w:t>
      </w:r>
      <w:r w:rsidRPr="00604AE9">
        <w:rPr>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42197358"/>
      <w:docPartObj>
        <w:docPartGallery w:val="Page Numbers (Top of Page)"/>
        <w:docPartUnique/>
      </w:docPartObj>
    </w:sdtPr>
    <w:sdtContent>
      <w:p w14:paraId="615A6AFF" w14:textId="5C7B283E" w:rsidR="008B1DD3" w:rsidRDefault="008B1DD3" w:rsidP="009807E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3FD851" w14:textId="77777777" w:rsidR="008B1DD3" w:rsidRDefault="008B1DD3" w:rsidP="008B1DD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70707774"/>
      <w:docPartObj>
        <w:docPartGallery w:val="Page Numbers (Top of Page)"/>
        <w:docPartUnique/>
      </w:docPartObj>
    </w:sdtPr>
    <w:sdtContent>
      <w:p w14:paraId="77B5114C" w14:textId="5EAE7342" w:rsidR="008B1DD3" w:rsidRDefault="008B1DD3" w:rsidP="009807E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6B2EA677" w14:textId="77777777" w:rsidR="008B1DD3" w:rsidRDefault="008B1DD3" w:rsidP="008B1DD3">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1A"/>
    <w:rsid w:val="000163C5"/>
    <w:rsid w:val="00024C22"/>
    <w:rsid w:val="00033F27"/>
    <w:rsid w:val="00050C39"/>
    <w:rsid w:val="000728A9"/>
    <w:rsid w:val="000761D3"/>
    <w:rsid w:val="00094356"/>
    <w:rsid w:val="000C6DC7"/>
    <w:rsid w:val="000E2F38"/>
    <w:rsid w:val="000E718F"/>
    <w:rsid w:val="00101D02"/>
    <w:rsid w:val="0011454C"/>
    <w:rsid w:val="001306A6"/>
    <w:rsid w:val="001362FC"/>
    <w:rsid w:val="00142D23"/>
    <w:rsid w:val="00154277"/>
    <w:rsid w:val="001649B7"/>
    <w:rsid w:val="00171C2F"/>
    <w:rsid w:val="00175C56"/>
    <w:rsid w:val="00190360"/>
    <w:rsid w:val="001918A1"/>
    <w:rsid w:val="001B4259"/>
    <w:rsid w:val="001C2550"/>
    <w:rsid w:val="001C59EB"/>
    <w:rsid w:val="001D0C83"/>
    <w:rsid w:val="002056E3"/>
    <w:rsid w:val="002175C3"/>
    <w:rsid w:val="00224E66"/>
    <w:rsid w:val="00251E7A"/>
    <w:rsid w:val="00252BA1"/>
    <w:rsid w:val="00271B49"/>
    <w:rsid w:val="0029304C"/>
    <w:rsid w:val="002A7FD9"/>
    <w:rsid w:val="002C6019"/>
    <w:rsid w:val="002D650A"/>
    <w:rsid w:val="00300372"/>
    <w:rsid w:val="00313455"/>
    <w:rsid w:val="00370CA5"/>
    <w:rsid w:val="00394280"/>
    <w:rsid w:val="00395C08"/>
    <w:rsid w:val="003A7790"/>
    <w:rsid w:val="003C23D6"/>
    <w:rsid w:val="003C2FB0"/>
    <w:rsid w:val="003C70AF"/>
    <w:rsid w:val="003E636C"/>
    <w:rsid w:val="003F7372"/>
    <w:rsid w:val="00415191"/>
    <w:rsid w:val="00426FCD"/>
    <w:rsid w:val="00436929"/>
    <w:rsid w:val="0044574B"/>
    <w:rsid w:val="00455567"/>
    <w:rsid w:val="004556FC"/>
    <w:rsid w:val="00495710"/>
    <w:rsid w:val="004D4457"/>
    <w:rsid w:val="00533631"/>
    <w:rsid w:val="00533FD1"/>
    <w:rsid w:val="00536806"/>
    <w:rsid w:val="00567704"/>
    <w:rsid w:val="00591BAC"/>
    <w:rsid w:val="005A571D"/>
    <w:rsid w:val="005B35E5"/>
    <w:rsid w:val="005C45E7"/>
    <w:rsid w:val="005C6FE5"/>
    <w:rsid w:val="00604AE9"/>
    <w:rsid w:val="00610724"/>
    <w:rsid w:val="006152F5"/>
    <w:rsid w:val="00620B55"/>
    <w:rsid w:val="0062348E"/>
    <w:rsid w:val="00636C47"/>
    <w:rsid w:val="006462AE"/>
    <w:rsid w:val="00647C4A"/>
    <w:rsid w:val="00656C5E"/>
    <w:rsid w:val="00670A11"/>
    <w:rsid w:val="00690271"/>
    <w:rsid w:val="006966C0"/>
    <w:rsid w:val="00696B91"/>
    <w:rsid w:val="006C0103"/>
    <w:rsid w:val="006C0FF4"/>
    <w:rsid w:val="006C5257"/>
    <w:rsid w:val="006F4312"/>
    <w:rsid w:val="006F60DD"/>
    <w:rsid w:val="006F6D1E"/>
    <w:rsid w:val="00775042"/>
    <w:rsid w:val="007778E3"/>
    <w:rsid w:val="00783EF8"/>
    <w:rsid w:val="007A3814"/>
    <w:rsid w:val="007A4BA5"/>
    <w:rsid w:val="007B1AFE"/>
    <w:rsid w:val="007D0BA2"/>
    <w:rsid w:val="007D708D"/>
    <w:rsid w:val="00814CBC"/>
    <w:rsid w:val="00844F0A"/>
    <w:rsid w:val="00853648"/>
    <w:rsid w:val="008A0DC6"/>
    <w:rsid w:val="008B1DD3"/>
    <w:rsid w:val="008C5C67"/>
    <w:rsid w:val="0090021B"/>
    <w:rsid w:val="00906A2F"/>
    <w:rsid w:val="00926931"/>
    <w:rsid w:val="00933298"/>
    <w:rsid w:val="0094314D"/>
    <w:rsid w:val="00943499"/>
    <w:rsid w:val="009820D2"/>
    <w:rsid w:val="009D30A1"/>
    <w:rsid w:val="00A12490"/>
    <w:rsid w:val="00A13CDE"/>
    <w:rsid w:val="00A350AD"/>
    <w:rsid w:val="00A422BC"/>
    <w:rsid w:val="00A926E3"/>
    <w:rsid w:val="00A93E2A"/>
    <w:rsid w:val="00AC243B"/>
    <w:rsid w:val="00AF0A07"/>
    <w:rsid w:val="00AF7CEB"/>
    <w:rsid w:val="00B0495E"/>
    <w:rsid w:val="00B05C77"/>
    <w:rsid w:val="00B15FB9"/>
    <w:rsid w:val="00B572C3"/>
    <w:rsid w:val="00B63D04"/>
    <w:rsid w:val="00B65121"/>
    <w:rsid w:val="00B7289D"/>
    <w:rsid w:val="00B8546E"/>
    <w:rsid w:val="00B96DAF"/>
    <w:rsid w:val="00BA2974"/>
    <w:rsid w:val="00BA71E8"/>
    <w:rsid w:val="00BE6AFA"/>
    <w:rsid w:val="00BF4945"/>
    <w:rsid w:val="00C07871"/>
    <w:rsid w:val="00C12256"/>
    <w:rsid w:val="00C13731"/>
    <w:rsid w:val="00C3017E"/>
    <w:rsid w:val="00C42ECF"/>
    <w:rsid w:val="00C77C42"/>
    <w:rsid w:val="00CA4BBB"/>
    <w:rsid w:val="00CC3518"/>
    <w:rsid w:val="00CE2B9C"/>
    <w:rsid w:val="00CF6DED"/>
    <w:rsid w:val="00D0212F"/>
    <w:rsid w:val="00D30111"/>
    <w:rsid w:val="00D45E2E"/>
    <w:rsid w:val="00D47D83"/>
    <w:rsid w:val="00D73B3E"/>
    <w:rsid w:val="00D81D5D"/>
    <w:rsid w:val="00D97509"/>
    <w:rsid w:val="00DF377D"/>
    <w:rsid w:val="00E422FD"/>
    <w:rsid w:val="00E73A1A"/>
    <w:rsid w:val="00E82FF9"/>
    <w:rsid w:val="00E85AC6"/>
    <w:rsid w:val="00EA5075"/>
    <w:rsid w:val="00EB294E"/>
    <w:rsid w:val="00EF108B"/>
    <w:rsid w:val="00F1608A"/>
    <w:rsid w:val="00F23A8E"/>
    <w:rsid w:val="00F25FA5"/>
    <w:rsid w:val="00F30E4F"/>
    <w:rsid w:val="00F44632"/>
    <w:rsid w:val="00F618A1"/>
    <w:rsid w:val="00F67246"/>
    <w:rsid w:val="00F916AD"/>
    <w:rsid w:val="00FB60DF"/>
    <w:rsid w:val="00FE22A6"/>
    <w:rsid w:val="00FF1A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F4D3D1C"/>
  <w14:defaultImageDpi w14:val="32767"/>
  <w15:chartTrackingRefBased/>
  <w15:docId w15:val="{4917BC7E-EF97-A743-8199-EAE8CFC9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52F5"/>
    <w:pPr>
      <w:spacing w:after="120"/>
      <w:jc w:val="both"/>
    </w:pPr>
    <w:rPr>
      <w:rFonts w:ascii="Times New Roman" w:hAnsi="Times New Roman" w:cs="Times New Roman (Corps CS)"/>
    </w:rPr>
  </w:style>
  <w:style w:type="paragraph" w:styleId="Titre1">
    <w:name w:val="heading 1"/>
    <w:basedOn w:val="Normal"/>
    <w:next w:val="Normal"/>
    <w:link w:val="Titre1Car"/>
    <w:uiPriority w:val="9"/>
    <w:qFormat/>
    <w:rsid w:val="00E73A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73A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73A1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73A1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E73A1A"/>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E73A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E73A1A"/>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E73A1A"/>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E73A1A"/>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3A1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73A1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73A1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73A1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73A1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73A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3A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3A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3A1A"/>
    <w:rPr>
      <w:rFonts w:eastAsiaTheme="majorEastAsia" w:cstheme="majorBidi"/>
      <w:color w:val="272727" w:themeColor="text1" w:themeTint="D8"/>
    </w:rPr>
  </w:style>
  <w:style w:type="paragraph" w:styleId="Titre">
    <w:name w:val="Title"/>
    <w:basedOn w:val="Normal"/>
    <w:next w:val="Normal"/>
    <w:link w:val="TitreCar"/>
    <w:uiPriority w:val="10"/>
    <w:qFormat/>
    <w:rsid w:val="00E73A1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3A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3A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3A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3A1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73A1A"/>
    <w:rPr>
      <w:rFonts w:ascii="Times New Roman" w:hAnsi="Times New Roman" w:cs="Times New Roman (Corps CS)"/>
      <w:i/>
      <w:iCs/>
      <w:color w:val="404040" w:themeColor="text1" w:themeTint="BF"/>
    </w:rPr>
  </w:style>
  <w:style w:type="paragraph" w:styleId="Paragraphedeliste">
    <w:name w:val="List Paragraph"/>
    <w:basedOn w:val="Normal"/>
    <w:uiPriority w:val="34"/>
    <w:qFormat/>
    <w:rsid w:val="00E73A1A"/>
    <w:pPr>
      <w:ind w:left="720"/>
      <w:contextualSpacing/>
    </w:pPr>
  </w:style>
  <w:style w:type="character" w:styleId="Accentuationintense">
    <w:name w:val="Intense Emphasis"/>
    <w:basedOn w:val="Policepardfaut"/>
    <w:uiPriority w:val="21"/>
    <w:qFormat/>
    <w:rsid w:val="00E73A1A"/>
    <w:rPr>
      <w:i/>
      <w:iCs/>
      <w:color w:val="2F5496" w:themeColor="accent1" w:themeShade="BF"/>
    </w:rPr>
  </w:style>
  <w:style w:type="paragraph" w:styleId="Citationintense">
    <w:name w:val="Intense Quote"/>
    <w:basedOn w:val="Normal"/>
    <w:next w:val="Normal"/>
    <w:link w:val="CitationintenseCar"/>
    <w:uiPriority w:val="30"/>
    <w:qFormat/>
    <w:rsid w:val="00E73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73A1A"/>
    <w:rPr>
      <w:rFonts w:ascii="Times New Roman" w:hAnsi="Times New Roman" w:cs="Times New Roman (Corps CS)"/>
      <w:i/>
      <w:iCs/>
      <w:color w:val="2F5496" w:themeColor="accent1" w:themeShade="BF"/>
    </w:rPr>
  </w:style>
  <w:style w:type="character" w:styleId="Rfrenceintense">
    <w:name w:val="Intense Reference"/>
    <w:basedOn w:val="Policepardfaut"/>
    <w:uiPriority w:val="32"/>
    <w:qFormat/>
    <w:rsid w:val="00E73A1A"/>
    <w:rPr>
      <w:b/>
      <w:bCs/>
      <w:smallCaps/>
      <w:color w:val="2F5496" w:themeColor="accent1" w:themeShade="BF"/>
      <w:spacing w:val="5"/>
    </w:rPr>
  </w:style>
  <w:style w:type="paragraph" w:customStyle="1" w:styleId="Default">
    <w:name w:val="Default"/>
    <w:basedOn w:val="Normal"/>
    <w:uiPriority w:val="99"/>
    <w:rsid w:val="00E73A1A"/>
    <w:pPr>
      <w:autoSpaceDE w:val="0"/>
      <w:autoSpaceDN w:val="0"/>
      <w:spacing w:after="0"/>
      <w:jc w:val="left"/>
    </w:pPr>
    <w:rPr>
      <w:rFonts w:eastAsia="Calibri" w:cs="Times New Roman"/>
      <w:color w:val="000000"/>
      <w:kern w:val="0"/>
      <w:lang w:val="en-GB" w:eastAsia="en-GB"/>
      <w14:ligatures w14:val="none"/>
    </w:rPr>
  </w:style>
  <w:style w:type="paragraph" w:styleId="Notedebasdepage">
    <w:name w:val="footnote text"/>
    <w:basedOn w:val="Normal"/>
    <w:link w:val="NotedebasdepageCar"/>
    <w:uiPriority w:val="99"/>
    <w:unhideWhenUsed/>
    <w:rsid w:val="005B35E5"/>
    <w:rPr>
      <w:rFonts w:cstheme="minorBidi"/>
      <w:kern w:val="0"/>
      <w:sz w:val="20"/>
      <w:szCs w:val="20"/>
      <w14:ligatures w14:val="none"/>
    </w:rPr>
  </w:style>
  <w:style w:type="character" w:customStyle="1" w:styleId="NotedebasdepageCar">
    <w:name w:val="Note de bas de page Car"/>
    <w:basedOn w:val="Policepardfaut"/>
    <w:link w:val="Notedebasdepage"/>
    <w:uiPriority w:val="99"/>
    <w:qFormat/>
    <w:rsid w:val="005B35E5"/>
    <w:rPr>
      <w:rFonts w:ascii="Times New Roman" w:hAnsi="Times New Roman"/>
      <w:kern w:val="0"/>
      <w:sz w:val="20"/>
      <w:szCs w:val="20"/>
      <w14:ligatures w14:val="none"/>
    </w:rPr>
  </w:style>
  <w:style w:type="character" w:styleId="Appelnotedebasdep">
    <w:name w:val="footnote reference"/>
    <w:basedOn w:val="Policepardfaut"/>
    <w:unhideWhenUsed/>
    <w:rsid w:val="005B35E5"/>
    <w:rPr>
      <w:vertAlign w:val="superscript"/>
    </w:rPr>
  </w:style>
  <w:style w:type="character" w:customStyle="1" w:styleId="hgkelc">
    <w:name w:val="hgkelc"/>
    <w:basedOn w:val="Policepardfaut"/>
    <w:rsid w:val="005B35E5"/>
  </w:style>
  <w:style w:type="character" w:customStyle="1" w:styleId="apple-converted-space">
    <w:name w:val="apple-converted-space"/>
    <w:basedOn w:val="Policepardfaut"/>
    <w:rsid w:val="005B35E5"/>
  </w:style>
  <w:style w:type="character" w:customStyle="1" w:styleId="jpfdse">
    <w:name w:val="jpfdse"/>
    <w:basedOn w:val="Policepardfaut"/>
    <w:rsid w:val="005B35E5"/>
  </w:style>
  <w:style w:type="character" w:customStyle="1" w:styleId="Caractresdenotedebasdepage">
    <w:name w:val="Caractères de note de bas de page"/>
    <w:basedOn w:val="Policepardfaut"/>
    <w:uiPriority w:val="99"/>
    <w:qFormat/>
    <w:rsid w:val="005B35E5"/>
    <w:rPr>
      <w:vertAlign w:val="superscript"/>
    </w:rPr>
  </w:style>
  <w:style w:type="paragraph" w:customStyle="1" w:styleId="xmsonormal">
    <w:name w:val="x_msonormal"/>
    <w:basedOn w:val="Normal"/>
    <w:qFormat/>
    <w:rsid w:val="005B35E5"/>
    <w:pPr>
      <w:suppressAutoHyphens/>
      <w:spacing w:beforeAutospacing="1" w:after="0" w:afterAutospacing="1"/>
      <w:jc w:val="left"/>
    </w:pPr>
    <w:rPr>
      <w:rFonts w:eastAsia="Times New Roman" w:cs="Times New Roman"/>
      <w:kern w:val="0"/>
      <w:lang w:val="fr-BE" w:eastAsia="fr-FR"/>
      <w14:ligatures w14:val="none"/>
    </w:rPr>
  </w:style>
  <w:style w:type="character" w:styleId="Lienhypertexte">
    <w:name w:val="Hyperlink"/>
    <w:basedOn w:val="Policepardfaut"/>
    <w:uiPriority w:val="99"/>
    <w:unhideWhenUsed/>
    <w:rsid w:val="005B35E5"/>
    <w:rPr>
      <w:color w:val="0563C1" w:themeColor="hyperlink"/>
      <w:u w:val="single"/>
    </w:rPr>
  </w:style>
  <w:style w:type="paragraph" w:customStyle="1" w:styleId="Textbody">
    <w:name w:val="Text body"/>
    <w:basedOn w:val="Normal"/>
    <w:qFormat/>
    <w:rsid w:val="003F7372"/>
    <w:pPr>
      <w:suppressAutoHyphens/>
      <w:spacing w:after="140" w:line="276" w:lineRule="auto"/>
      <w:jc w:val="left"/>
      <w:textAlignment w:val="baseline"/>
    </w:pPr>
    <w:rPr>
      <w:rFonts w:ascii="Georgia" w:eastAsia="NSimSun" w:hAnsi="Georgia" w:cs="Mangal"/>
      <w:lang w:eastAsia="zh-CN" w:bidi="hi-IN"/>
      <w14:ligatures w14:val="none"/>
    </w:rPr>
  </w:style>
  <w:style w:type="character" w:styleId="Accentuation">
    <w:name w:val="Emphasis"/>
    <w:basedOn w:val="Policepardfaut"/>
    <w:uiPriority w:val="20"/>
    <w:qFormat/>
    <w:rsid w:val="009820D2"/>
    <w:rPr>
      <w:i/>
      <w:iCs/>
    </w:rPr>
  </w:style>
  <w:style w:type="paragraph" w:styleId="En-tte">
    <w:name w:val="header"/>
    <w:basedOn w:val="Normal"/>
    <w:link w:val="En-tteCar"/>
    <w:uiPriority w:val="99"/>
    <w:unhideWhenUsed/>
    <w:rsid w:val="008B1DD3"/>
    <w:pPr>
      <w:tabs>
        <w:tab w:val="center" w:pos="4536"/>
        <w:tab w:val="right" w:pos="9072"/>
      </w:tabs>
      <w:spacing w:after="0"/>
    </w:pPr>
  </w:style>
  <w:style w:type="character" w:customStyle="1" w:styleId="En-tteCar">
    <w:name w:val="En-tête Car"/>
    <w:basedOn w:val="Policepardfaut"/>
    <w:link w:val="En-tte"/>
    <w:uiPriority w:val="99"/>
    <w:rsid w:val="008B1DD3"/>
    <w:rPr>
      <w:rFonts w:ascii="Times New Roman" w:hAnsi="Times New Roman" w:cs="Times New Roman (Corps CS)"/>
    </w:rPr>
  </w:style>
  <w:style w:type="character" w:styleId="Numrodepage">
    <w:name w:val="page number"/>
    <w:basedOn w:val="Policepardfaut"/>
    <w:uiPriority w:val="99"/>
    <w:semiHidden/>
    <w:unhideWhenUsed/>
    <w:rsid w:val="008B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253323">
      <w:bodyDiv w:val="1"/>
      <w:marLeft w:val="0"/>
      <w:marRight w:val="0"/>
      <w:marTop w:val="0"/>
      <w:marBottom w:val="0"/>
      <w:divBdr>
        <w:top w:val="none" w:sz="0" w:space="0" w:color="auto"/>
        <w:left w:val="none" w:sz="0" w:space="0" w:color="auto"/>
        <w:bottom w:val="none" w:sz="0" w:space="0" w:color="auto"/>
        <w:right w:val="none" w:sz="0" w:space="0" w:color="auto"/>
      </w:divBdr>
    </w:div>
    <w:div w:id="151761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7EF6B-EB43-E348-B19F-AF3ED29A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Pages>
  <Words>1801</Words>
  <Characters>9908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11686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Marsia</dc:creator>
  <cp:keywords/>
  <dc:description/>
  <cp:lastModifiedBy>Jean Marsia</cp:lastModifiedBy>
  <cp:revision>9</cp:revision>
  <dcterms:created xsi:type="dcterms:W3CDTF">2025-01-06T13:47:00Z</dcterms:created>
  <dcterms:modified xsi:type="dcterms:W3CDTF">2025-01-08T17:33:00Z</dcterms:modified>
  <cp:category/>
</cp:coreProperties>
</file>