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9CE" w14:textId="77777777" w:rsidR="008D67DD" w:rsidRPr="007375ED" w:rsidRDefault="001E5275">
      <w:pPr>
        <w:pStyle w:val="Titre1"/>
        <w:spacing w:before="0" w:after="120"/>
        <w:jc w:val="both"/>
        <w:rPr>
          <w:rFonts w:ascii="Times New Roman" w:hAnsi="Times New Roman" w:cs="Times New Roman"/>
          <w:color w:val="000000" w:themeColor="text1"/>
          <w:sz w:val="24"/>
          <w:szCs w:val="24"/>
        </w:rPr>
      </w:pPr>
      <w:r w:rsidRPr="007375ED">
        <w:rPr>
          <w:rFonts w:ascii="Times New Roman" w:hAnsi="Times New Roman" w:cs="Times New Roman"/>
          <w:color w:val="000000" w:themeColor="text1"/>
          <w:sz w:val="24"/>
          <w:szCs w:val="24"/>
        </w:rPr>
        <w:t>OPINION</w:t>
      </w:r>
    </w:p>
    <w:p w14:paraId="13CF41D7" w14:textId="174ED007" w:rsidR="008D67DD" w:rsidRPr="007375ED" w:rsidRDefault="00025A6F">
      <w:pPr>
        <w:spacing w:after="120"/>
        <w:jc w:val="center"/>
        <w:rPr>
          <w:rFonts w:eastAsiaTheme="minorHAnsi"/>
          <w:b/>
          <w:bCs/>
          <w:color w:val="000000" w:themeColor="text1"/>
          <w:lang w:val="fr-FR" w:eastAsia="en-US"/>
          <w14:ligatures w14:val="standardContextual"/>
        </w:rPr>
      </w:pPr>
      <w:r w:rsidRPr="007375ED">
        <w:rPr>
          <w:rFonts w:eastAsiaTheme="minorHAnsi"/>
          <w:b/>
          <w:bCs/>
          <w:color w:val="000000" w:themeColor="text1"/>
          <w:lang w:val="fr-FR" w:eastAsia="en-US"/>
          <w14:ligatures w14:val="standardContextual"/>
        </w:rPr>
        <w:t xml:space="preserve">Une dette commune </w:t>
      </w:r>
      <w:r w:rsidR="0029140E">
        <w:rPr>
          <w:rFonts w:eastAsiaTheme="minorHAnsi"/>
          <w:b/>
          <w:bCs/>
          <w:color w:val="000000" w:themeColor="text1"/>
          <w:lang w:val="fr-FR" w:eastAsia="en-US"/>
          <w14:ligatures w14:val="standardContextual"/>
        </w:rPr>
        <w:t>pour l’</w:t>
      </w:r>
      <w:r w:rsidRPr="007375ED">
        <w:rPr>
          <w:rFonts w:eastAsiaTheme="minorHAnsi"/>
          <w:b/>
          <w:bCs/>
          <w:color w:val="000000" w:themeColor="text1"/>
          <w:lang w:val="fr-FR" w:eastAsia="en-US"/>
          <w14:ligatures w14:val="standardContextual"/>
        </w:rPr>
        <w:t>Europe</w:t>
      </w:r>
      <w:r w:rsidR="001C2D0B">
        <w:rPr>
          <w:rFonts w:eastAsiaTheme="minorHAnsi"/>
          <w:b/>
          <w:bCs/>
          <w:color w:val="000000" w:themeColor="text1"/>
          <w:lang w:val="fr-FR" w:eastAsia="en-US"/>
          <w14:ligatures w14:val="standardContextual"/>
        </w:rPr>
        <w:t> ? Pour que faire ?</w:t>
      </w:r>
      <w:r w:rsidR="005764CD">
        <w:rPr>
          <w:rFonts w:eastAsiaTheme="minorHAnsi"/>
          <w:b/>
          <w:bCs/>
          <w:color w:val="000000" w:themeColor="text1"/>
          <w:lang w:val="fr-FR" w:eastAsia="en-US"/>
          <w14:ligatures w14:val="standardContextual"/>
        </w:rPr>
        <w:t xml:space="preserve"> </w:t>
      </w:r>
    </w:p>
    <w:p w14:paraId="358EE7FB" w14:textId="4F7398BD" w:rsidR="008D67DD" w:rsidRPr="007375ED" w:rsidRDefault="001E5275">
      <w:pPr>
        <w:spacing w:after="120"/>
        <w:jc w:val="right"/>
        <w:rPr>
          <w:color w:val="000000" w:themeColor="text1"/>
        </w:rPr>
      </w:pPr>
      <w:r w:rsidRPr="007375ED">
        <w:rPr>
          <w:rFonts w:eastAsia="Times"/>
          <w:color w:val="000000" w:themeColor="text1"/>
        </w:rPr>
        <w:t>Par Jean MARSIA, président de la Société européenne de défense AISBL (S€D)</w:t>
      </w:r>
    </w:p>
    <w:p w14:paraId="7704679A" w14:textId="302700F4" w:rsidR="00D24E37" w:rsidRPr="002F6BED" w:rsidRDefault="00086616" w:rsidP="00D24E37">
      <w:pPr>
        <w:suppressAutoHyphens w:val="0"/>
        <w:spacing w:after="120"/>
        <w:jc w:val="both"/>
        <w:rPr>
          <w:color w:val="000000" w:themeColor="text1"/>
        </w:rPr>
      </w:pPr>
      <w:r>
        <w:rPr>
          <w:color w:val="000000" w:themeColor="text1"/>
        </w:rPr>
        <w:t>C</w:t>
      </w:r>
      <w:r w:rsidR="00D24E37" w:rsidRPr="00D24E37">
        <w:rPr>
          <w:color w:val="000000" w:themeColor="text1"/>
        </w:rPr>
        <w:t>onsid</w:t>
      </w:r>
      <w:r>
        <w:rPr>
          <w:color w:val="000000" w:themeColor="text1"/>
        </w:rPr>
        <w:t>é</w:t>
      </w:r>
      <w:r w:rsidR="00D24E37" w:rsidRPr="00D24E37">
        <w:rPr>
          <w:color w:val="000000" w:themeColor="text1"/>
        </w:rPr>
        <w:t>r</w:t>
      </w:r>
      <w:r>
        <w:rPr>
          <w:color w:val="000000" w:themeColor="text1"/>
        </w:rPr>
        <w:t>ant</w:t>
      </w:r>
      <w:r w:rsidR="00D24E37" w:rsidRPr="00D24E37">
        <w:rPr>
          <w:color w:val="000000" w:themeColor="text1"/>
        </w:rPr>
        <w:t xml:space="preserve"> </w:t>
      </w:r>
      <w:r w:rsidR="00D24E37">
        <w:rPr>
          <w:color w:val="000000" w:themeColor="text1"/>
        </w:rPr>
        <w:t xml:space="preserve">d’une part </w:t>
      </w:r>
      <w:r w:rsidR="00D24E37" w:rsidRPr="00D24E37">
        <w:rPr>
          <w:color w:val="000000" w:themeColor="text1"/>
        </w:rPr>
        <w:t xml:space="preserve">les priorités budgétaires </w:t>
      </w:r>
      <w:r w:rsidR="0029140E">
        <w:rPr>
          <w:color w:val="000000" w:themeColor="text1"/>
        </w:rPr>
        <w:t>de l’Union européenne (UE),</w:t>
      </w:r>
      <w:r w:rsidR="00D24E37" w:rsidRPr="00D24E37">
        <w:rPr>
          <w:color w:val="000000" w:themeColor="text1"/>
        </w:rPr>
        <w:t xml:space="preserve"> </w:t>
      </w:r>
      <w:r w:rsidR="00D24E37">
        <w:rPr>
          <w:color w:val="000000" w:themeColor="text1"/>
        </w:rPr>
        <w:t>qu</w:t>
      </w:r>
      <w:r w:rsidR="0029140E">
        <w:rPr>
          <w:color w:val="000000" w:themeColor="text1"/>
        </w:rPr>
        <w:t>i</w:t>
      </w:r>
      <w:r w:rsidR="00D24E37">
        <w:rPr>
          <w:color w:val="000000" w:themeColor="text1"/>
        </w:rPr>
        <w:t xml:space="preserve"> sont la </w:t>
      </w:r>
      <w:r w:rsidR="00D24E37" w:rsidRPr="00D24E37">
        <w:rPr>
          <w:color w:val="000000" w:themeColor="text1"/>
        </w:rPr>
        <w:t>défense</w:t>
      </w:r>
      <w:r w:rsidR="00D24E37">
        <w:rPr>
          <w:color w:val="000000" w:themeColor="text1"/>
        </w:rPr>
        <w:t xml:space="preserve"> et</w:t>
      </w:r>
      <w:r w:rsidR="00D24E37" w:rsidRPr="00D24E37">
        <w:rPr>
          <w:color w:val="000000" w:themeColor="text1"/>
        </w:rPr>
        <w:t xml:space="preserve"> </w:t>
      </w:r>
      <w:r w:rsidR="00D24E37">
        <w:rPr>
          <w:color w:val="000000" w:themeColor="text1"/>
        </w:rPr>
        <w:t xml:space="preserve">la </w:t>
      </w:r>
      <w:r w:rsidR="00D24E37" w:rsidRPr="00D24E37">
        <w:rPr>
          <w:color w:val="000000" w:themeColor="text1"/>
        </w:rPr>
        <w:t>relance</w:t>
      </w:r>
      <w:r w:rsidR="00D24E37">
        <w:rPr>
          <w:color w:val="000000" w:themeColor="text1"/>
        </w:rPr>
        <w:t xml:space="preserve"> de l’économie</w:t>
      </w:r>
      <w:r w:rsidR="00D24E37" w:rsidRPr="00D24E37">
        <w:rPr>
          <w:color w:val="000000" w:themeColor="text1"/>
        </w:rPr>
        <w:t xml:space="preserve">, </w:t>
      </w:r>
      <w:r w:rsidR="00D24E37">
        <w:rPr>
          <w:color w:val="000000" w:themeColor="text1"/>
        </w:rPr>
        <w:t xml:space="preserve">et d’autre part </w:t>
      </w:r>
      <w:r>
        <w:rPr>
          <w:color w:val="000000" w:themeColor="text1"/>
        </w:rPr>
        <w:t>son</w:t>
      </w:r>
      <w:r w:rsidR="00D24E37">
        <w:rPr>
          <w:color w:val="000000" w:themeColor="text1"/>
        </w:rPr>
        <w:t xml:space="preserve"> manque de ressources financières</w:t>
      </w:r>
      <w:r>
        <w:rPr>
          <w:color w:val="000000" w:themeColor="text1"/>
        </w:rPr>
        <w:t>,</w:t>
      </w:r>
      <w:r w:rsidR="00D24E37">
        <w:rPr>
          <w:color w:val="000000" w:themeColor="text1"/>
        </w:rPr>
        <w:t xml:space="preserve"> </w:t>
      </w:r>
      <w:r>
        <w:rPr>
          <w:color w:val="000000" w:themeColor="text1"/>
        </w:rPr>
        <w:t xml:space="preserve">certains proposent </w:t>
      </w:r>
      <w:r w:rsidR="00D24E37" w:rsidRPr="00D24E37">
        <w:rPr>
          <w:color w:val="000000" w:themeColor="text1"/>
        </w:rPr>
        <w:t>de</w:t>
      </w:r>
      <w:r w:rsidR="00D24E37">
        <w:rPr>
          <w:color w:val="000000" w:themeColor="text1"/>
        </w:rPr>
        <w:t xml:space="preserve"> s’inspirer de la</w:t>
      </w:r>
      <w:r>
        <w:rPr>
          <w:color w:val="000000" w:themeColor="text1"/>
        </w:rPr>
        <w:t xml:space="preserve"> faç</w:t>
      </w:r>
      <w:r w:rsidR="00D24E37">
        <w:rPr>
          <w:color w:val="000000" w:themeColor="text1"/>
        </w:rPr>
        <w:t>on d</w:t>
      </w:r>
      <w:r>
        <w:rPr>
          <w:color w:val="000000" w:themeColor="text1"/>
        </w:rPr>
        <w:t xml:space="preserve">ont </w:t>
      </w:r>
      <w:r w:rsidR="00D24E37" w:rsidRPr="00D24E37">
        <w:rPr>
          <w:color w:val="000000" w:themeColor="text1"/>
        </w:rPr>
        <w:t>Alexander Hamilton</w:t>
      </w:r>
      <w:r w:rsidR="00D24E37">
        <w:rPr>
          <w:color w:val="000000" w:themeColor="text1"/>
        </w:rPr>
        <w:t xml:space="preserve"> </w:t>
      </w:r>
      <w:r>
        <w:rPr>
          <w:color w:val="000000" w:themeColor="text1"/>
        </w:rPr>
        <w:t xml:space="preserve">a </w:t>
      </w:r>
      <w:r w:rsidR="001C2D0B">
        <w:rPr>
          <w:color w:val="000000" w:themeColor="text1"/>
        </w:rPr>
        <w:t>mutualis</w:t>
      </w:r>
      <w:r>
        <w:rPr>
          <w:color w:val="000000" w:themeColor="text1"/>
        </w:rPr>
        <w:t>é</w:t>
      </w:r>
      <w:r w:rsidR="00D24E37">
        <w:rPr>
          <w:color w:val="000000" w:themeColor="text1"/>
        </w:rPr>
        <w:t xml:space="preserve"> </w:t>
      </w:r>
      <w:r>
        <w:rPr>
          <w:color w:val="000000" w:themeColor="text1"/>
        </w:rPr>
        <w:t>l</w:t>
      </w:r>
      <w:r w:rsidR="00D24E37" w:rsidRPr="00D24E37">
        <w:rPr>
          <w:color w:val="000000" w:themeColor="text1"/>
        </w:rPr>
        <w:t xml:space="preserve">es dettes </w:t>
      </w:r>
      <w:r>
        <w:rPr>
          <w:color w:val="000000" w:themeColor="text1"/>
        </w:rPr>
        <w:t xml:space="preserve">des 13 États </w:t>
      </w:r>
      <w:r w:rsidR="002F6BED" w:rsidRPr="002F6BED">
        <w:rPr>
          <w:color w:val="000000" w:themeColor="text1"/>
        </w:rPr>
        <w:t>américains</w:t>
      </w:r>
      <w:r w:rsidR="00B27FDD">
        <w:rPr>
          <w:color w:val="000000" w:themeColor="text1"/>
        </w:rPr>
        <w:t>, e</w:t>
      </w:r>
      <w:r>
        <w:rPr>
          <w:color w:val="000000" w:themeColor="text1"/>
        </w:rPr>
        <w:t>n</w:t>
      </w:r>
      <w:r w:rsidR="00B27FDD">
        <w:rPr>
          <w:color w:val="000000" w:themeColor="text1"/>
        </w:rPr>
        <w:t xml:space="preserve"> négligeant le fait que l’UE n’est pas une fédération</w:t>
      </w:r>
      <w:r>
        <w:rPr>
          <w:color w:val="000000" w:themeColor="text1"/>
        </w:rPr>
        <w:t>.</w:t>
      </w:r>
    </w:p>
    <w:p w14:paraId="20F6A351" w14:textId="59E9D6B9" w:rsidR="00473A76" w:rsidRPr="00086616" w:rsidRDefault="004D4740" w:rsidP="003F0CF1">
      <w:pPr>
        <w:suppressAutoHyphens w:val="0"/>
        <w:spacing w:after="120"/>
        <w:jc w:val="both"/>
        <w:rPr>
          <w:b/>
          <w:bCs/>
          <w:color w:val="000000" w:themeColor="text1"/>
        </w:rPr>
      </w:pPr>
      <w:r w:rsidRPr="00086616">
        <w:rPr>
          <w:b/>
          <w:bCs/>
          <w:color w:val="000000" w:themeColor="text1"/>
        </w:rPr>
        <w:t>Comment</w:t>
      </w:r>
      <w:r w:rsidR="00473A76" w:rsidRPr="00086616">
        <w:rPr>
          <w:b/>
          <w:bCs/>
          <w:color w:val="000000" w:themeColor="text1"/>
        </w:rPr>
        <w:t xml:space="preserve"> </w:t>
      </w:r>
      <w:r w:rsidR="00086616" w:rsidRPr="00086616">
        <w:rPr>
          <w:b/>
          <w:bCs/>
          <w:color w:val="000000" w:themeColor="text1"/>
        </w:rPr>
        <w:t xml:space="preserve">Hamilton a-t-il </w:t>
      </w:r>
      <w:r w:rsidR="00473A76" w:rsidRPr="00086616">
        <w:rPr>
          <w:b/>
          <w:bCs/>
          <w:color w:val="000000" w:themeColor="text1"/>
        </w:rPr>
        <w:t>transform</w:t>
      </w:r>
      <w:r w:rsidR="00086616" w:rsidRPr="00086616">
        <w:rPr>
          <w:b/>
          <w:bCs/>
          <w:color w:val="000000" w:themeColor="text1"/>
        </w:rPr>
        <w:t>é</w:t>
      </w:r>
      <w:r w:rsidR="00473A76" w:rsidRPr="00086616">
        <w:rPr>
          <w:b/>
          <w:bCs/>
          <w:color w:val="000000" w:themeColor="text1"/>
        </w:rPr>
        <w:t xml:space="preserve"> </w:t>
      </w:r>
      <w:r w:rsidR="00086616" w:rsidRPr="00086616">
        <w:rPr>
          <w:b/>
          <w:bCs/>
          <w:color w:val="000000" w:themeColor="text1"/>
        </w:rPr>
        <w:t>d</w:t>
      </w:r>
      <w:r w:rsidR="00473A76" w:rsidRPr="00086616">
        <w:rPr>
          <w:b/>
          <w:bCs/>
          <w:color w:val="000000" w:themeColor="text1"/>
        </w:rPr>
        <w:t xml:space="preserve">e </w:t>
      </w:r>
      <w:r w:rsidR="00D24E37" w:rsidRPr="00086616">
        <w:rPr>
          <w:b/>
          <w:bCs/>
          <w:color w:val="000000" w:themeColor="text1"/>
        </w:rPr>
        <w:t>mauvaise</w:t>
      </w:r>
      <w:r w:rsidR="00086616" w:rsidRPr="00086616">
        <w:rPr>
          <w:b/>
          <w:bCs/>
          <w:color w:val="000000" w:themeColor="text1"/>
        </w:rPr>
        <w:t>s</w:t>
      </w:r>
      <w:r w:rsidR="00D24E37" w:rsidRPr="00086616">
        <w:rPr>
          <w:b/>
          <w:bCs/>
          <w:color w:val="000000" w:themeColor="text1"/>
        </w:rPr>
        <w:t xml:space="preserve"> de</w:t>
      </w:r>
      <w:r w:rsidR="00473A76" w:rsidRPr="00086616">
        <w:rPr>
          <w:b/>
          <w:bCs/>
          <w:color w:val="000000" w:themeColor="text1"/>
        </w:rPr>
        <w:t>tte</w:t>
      </w:r>
      <w:r w:rsidR="00086616" w:rsidRPr="00086616">
        <w:rPr>
          <w:b/>
          <w:bCs/>
          <w:color w:val="000000" w:themeColor="text1"/>
        </w:rPr>
        <w:t>s</w:t>
      </w:r>
      <w:r w:rsidR="00473A76" w:rsidRPr="00086616">
        <w:rPr>
          <w:b/>
          <w:bCs/>
          <w:color w:val="000000" w:themeColor="text1"/>
        </w:rPr>
        <w:t xml:space="preserve"> en </w:t>
      </w:r>
      <w:r w:rsidRPr="00086616">
        <w:rPr>
          <w:b/>
          <w:bCs/>
          <w:color w:val="000000" w:themeColor="text1"/>
        </w:rPr>
        <w:t xml:space="preserve">un </w:t>
      </w:r>
      <w:r w:rsidR="00473A76" w:rsidRPr="00086616">
        <w:rPr>
          <w:b/>
          <w:bCs/>
          <w:color w:val="000000" w:themeColor="text1"/>
        </w:rPr>
        <w:t>actif</w:t>
      </w:r>
      <w:r w:rsidR="00D24E37" w:rsidRPr="00086616">
        <w:rPr>
          <w:b/>
          <w:bCs/>
          <w:color w:val="000000" w:themeColor="text1"/>
        </w:rPr>
        <w:t xml:space="preserve"> </w:t>
      </w:r>
      <w:r w:rsidR="002F6BED" w:rsidRPr="00086616">
        <w:rPr>
          <w:b/>
          <w:bCs/>
          <w:color w:val="000000" w:themeColor="text1"/>
        </w:rPr>
        <w:t xml:space="preserve">fort </w:t>
      </w:r>
      <w:r w:rsidR="00D24E37" w:rsidRPr="00086616">
        <w:rPr>
          <w:b/>
          <w:bCs/>
          <w:color w:val="000000" w:themeColor="text1"/>
        </w:rPr>
        <w:t>estimé</w:t>
      </w:r>
      <w:r w:rsidRPr="00086616">
        <w:rPr>
          <w:b/>
          <w:bCs/>
          <w:color w:val="000000" w:themeColor="text1"/>
        </w:rPr>
        <w:t> ?</w:t>
      </w:r>
    </w:p>
    <w:p w14:paraId="6B6AB2BC" w14:textId="3644F369" w:rsidR="00ED6CB2" w:rsidRPr="007375ED" w:rsidRDefault="00EE1C4D" w:rsidP="003F0CF1">
      <w:pPr>
        <w:suppressAutoHyphens w:val="0"/>
        <w:spacing w:after="120"/>
        <w:jc w:val="both"/>
        <w:rPr>
          <w:color w:val="000000" w:themeColor="text1"/>
        </w:rPr>
      </w:pPr>
      <w:r w:rsidRPr="007375ED">
        <w:rPr>
          <w:color w:val="000000" w:themeColor="text1"/>
        </w:rPr>
        <w:t xml:space="preserve">En septembre 1789, le président des États-Unis d’Amérique, George Washington confia à son secrétaire au Trésor, Alexander Hamilton, la mission de résoudre le problème de la dette qui avait été souscrite </w:t>
      </w:r>
      <w:r w:rsidR="004D4740" w:rsidRPr="007375ED">
        <w:rPr>
          <w:color w:val="000000" w:themeColor="text1"/>
        </w:rPr>
        <w:t>au cours de la guerre d’indépendance</w:t>
      </w:r>
      <w:r w:rsidR="004D4740">
        <w:rPr>
          <w:color w:val="000000" w:themeColor="text1"/>
        </w:rPr>
        <w:t>,</w:t>
      </w:r>
      <w:r w:rsidR="004D4740" w:rsidRPr="007375ED">
        <w:rPr>
          <w:color w:val="000000" w:themeColor="text1"/>
        </w:rPr>
        <w:t xml:space="preserve"> </w:t>
      </w:r>
      <w:r w:rsidRPr="007375ED">
        <w:rPr>
          <w:color w:val="000000" w:themeColor="text1"/>
        </w:rPr>
        <w:t>par les 13 États, pour payer la solde et approvisionner l’Armée continentale.</w:t>
      </w:r>
      <w:r w:rsidR="004D4740">
        <w:rPr>
          <w:color w:val="000000" w:themeColor="text1"/>
        </w:rPr>
        <w:t xml:space="preserve"> </w:t>
      </w:r>
      <w:r w:rsidR="004D4740" w:rsidRPr="007375ED">
        <w:rPr>
          <w:color w:val="000000" w:themeColor="text1"/>
        </w:rPr>
        <w:t>Les recettes courantes du gouvernement fédéral provenant des droits de douane et des droits d’accise finançai</w:t>
      </w:r>
      <w:r w:rsidR="00086616">
        <w:rPr>
          <w:color w:val="000000" w:themeColor="text1"/>
        </w:rPr>
        <w:t>en</w:t>
      </w:r>
      <w:r w:rsidR="004D4740" w:rsidRPr="007375ED">
        <w:rPr>
          <w:color w:val="000000" w:themeColor="text1"/>
        </w:rPr>
        <w:t xml:space="preserve">t seulement le fonctionnement courant du gouvernement. </w:t>
      </w:r>
      <w:r w:rsidR="00086616">
        <w:rPr>
          <w:color w:val="000000" w:themeColor="text1"/>
        </w:rPr>
        <w:t xml:space="preserve">Ni le gouvernement fédéral, ni ceux des États n’avaient les moyens d’amortir la dette. </w:t>
      </w:r>
      <w:r w:rsidR="004D4740" w:rsidRPr="007375ED">
        <w:rPr>
          <w:color w:val="000000" w:themeColor="text1"/>
        </w:rPr>
        <w:t xml:space="preserve">Informés de cela, </w:t>
      </w:r>
      <w:r w:rsidR="006373A4" w:rsidRPr="007375ED">
        <w:rPr>
          <w:color w:val="000000" w:themeColor="text1"/>
        </w:rPr>
        <w:t>a</w:t>
      </w:r>
      <w:r w:rsidR="006373A4">
        <w:rPr>
          <w:color w:val="000000" w:themeColor="text1"/>
        </w:rPr>
        <w:t>yant</w:t>
      </w:r>
      <w:r w:rsidR="006373A4" w:rsidRPr="007375ED">
        <w:rPr>
          <w:color w:val="000000" w:themeColor="text1"/>
        </w:rPr>
        <w:t xml:space="preserve"> perdu confiance dans leurs débiteurs</w:t>
      </w:r>
      <w:r w:rsidR="006373A4">
        <w:rPr>
          <w:color w:val="000000" w:themeColor="text1"/>
        </w:rPr>
        <w:t>,</w:t>
      </w:r>
      <w:r w:rsidR="006373A4" w:rsidRPr="007375ED">
        <w:rPr>
          <w:color w:val="000000" w:themeColor="text1"/>
        </w:rPr>
        <w:t xml:space="preserve"> </w:t>
      </w:r>
      <w:r w:rsidR="004D4740" w:rsidRPr="007375ED">
        <w:rPr>
          <w:color w:val="000000" w:themeColor="text1"/>
        </w:rPr>
        <w:t>un certain nombre de détenteurs initiaux d’obligations les avaient vendues à des spéculateurs.</w:t>
      </w:r>
    </w:p>
    <w:p w14:paraId="0CDAB33D" w14:textId="54D067AF" w:rsidR="00025A6F" w:rsidRPr="007375ED" w:rsidRDefault="00ED6CB2" w:rsidP="003F0CF1">
      <w:pPr>
        <w:suppressAutoHyphens w:val="0"/>
        <w:spacing w:after="120"/>
        <w:jc w:val="both"/>
        <w:rPr>
          <w:color w:val="000000" w:themeColor="text1"/>
        </w:rPr>
      </w:pPr>
      <w:r w:rsidRPr="007375ED">
        <w:rPr>
          <w:color w:val="000000" w:themeColor="text1"/>
        </w:rPr>
        <w:t>Hamilton</w:t>
      </w:r>
      <w:r w:rsidR="00EE1C4D" w:rsidRPr="007375ED">
        <w:rPr>
          <w:color w:val="000000" w:themeColor="text1"/>
        </w:rPr>
        <w:t xml:space="preserve"> proposa de </w:t>
      </w:r>
      <w:r w:rsidRPr="007375ED">
        <w:rPr>
          <w:color w:val="000000" w:themeColor="text1"/>
        </w:rPr>
        <w:t>rembourser</w:t>
      </w:r>
      <w:r w:rsidR="00EE1C4D" w:rsidRPr="007375ED">
        <w:rPr>
          <w:color w:val="000000" w:themeColor="text1"/>
        </w:rPr>
        <w:t xml:space="preserve"> </w:t>
      </w:r>
      <w:r w:rsidR="004D4740">
        <w:rPr>
          <w:color w:val="000000" w:themeColor="text1"/>
        </w:rPr>
        <w:t>c</w:t>
      </w:r>
      <w:r w:rsidRPr="007375ED">
        <w:rPr>
          <w:color w:val="000000" w:themeColor="text1"/>
        </w:rPr>
        <w:t>es</w:t>
      </w:r>
      <w:r w:rsidR="00EE1C4D" w:rsidRPr="007375ED">
        <w:rPr>
          <w:color w:val="000000" w:themeColor="text1"/>
        </w:rPr>
        <w:t xml:space="preserve"> dette</w:t>
      </w:r>
      <w:r w:rsidRPr="007375ED">
        <w:rPr>
          <w:color w:val="000000" w:themeColor="text1"/>
        </w:rPr>
        <w:t>s en augmentant l</w:t>
      </w:r>
      <w:r w:rsidR="00EE1C4D" w:rsidRPr="007375ED">
        <w:rPr>
          <w:color w:val="000000" w:themeColor="text1"/>
        </w:rPr>
        <w:t>e</w:t>
      </w:r>
      <w:r w:rsidRPr="007375ED">
        <w:rPr>
          <w:color w:val="000000" w:themeColor="text1"/>
        </w:rPr>
        <w:t>s</w:t>
      </w:r>
      <w:r w:rsidR="00EE1C4D" w:rsidRPr="007375ED">
        <w:rPr>
          <w:color w:val="000000" w:themeColor="text1"/>
        </w:rPr>
        <w:t xml:space="preserve"> recettes fiscales</w:t>
      </w:r>
      <w:r w:rsidR="004D4740">
        <w:rPr>
          <w:color w:val="000000" w:themeColor="text1"/>
        </w:rPr>
        <w:t>,</w:t>
      </w:r>
      <w:r w:rsidR="00EE1C4D" w:rsidRPr="007375ED">
        <w:rPr>
          <w:color w:val="000000" w:themeColor="text1"/>
        </w:rPr>
        <w:t xml:space="preserve"> </w:t>
      </w:r>
      <w:r w:rsidRPr="007375ED">
        <w:rPr>
          <w:color w:val="000000" w:themeColor="text1"/>
        </w:rPr>
        <w:t>par des taxes sur les produits de luxe, notamment l’alcool</w:t>
      </w:r>
      <w:r w:rsidR="00EE1C4D" w:rsidRPr="007375ED">
        <w:rPr>
          <w:color w:val="000000" w:themeColor="text1"/>
        </w:rPr>
        <w:t>, et e</w:t>
      </w:r>
      <w:r w:rsidR="006373A4">
        <w:rPr>
          <w:color w:val="000000" w:themeColor="text1"/>
        </w:rPr>
        <w:t>n</w:t>
      </w:r>
      <w:r w:rsidR="00EE1C4D" w:rsidRPr="007375ED">
        <w:rPr>
          <w:color w:val="000000" w:themeColor="text1"/>
        </w:rPr>
        <w:t xml:space="preserve"> génér</w:t>
      </w:r>
      <w:r w:rsidR="006373A4">
        <w:rPr>
          <w:color w:val="000000" w:themeColor="text1"/>
        </w:rPr>
        <w:t>ant</w:t>
      </w:r>
      <w:r w:rsidR="00EE1C4D" w:rsidRPr="007375ED">
        <w:rPr>
          <w:color w:val="000000" w:themeColor="text1"/>
        </w:rPr>
        <w:t xml:space="preserve"> de nouvelles recettes par la vente de terres dans l’Ouest </w:t>
      </w:r>
      <w:r w:rsidRPr="007375ED">
        <w:rPr>
          <w:color w:val="000000" w:themeColor="text1"/>
        </w:rPr>
        <w:t>des États-Unis d’Amérique</w:t>
      </w:r>
      <w:r w:rsidR="00EE1C4D" w:rsidRPr="007375ED">
        <w:rPr>
          <w:color w:val="000000" w:themeColor="text1"/>
        </w:rPr>
        <w:t>.</w:t>
      </w:r>
      <w:r w:rsidRPr="007375ED">
        <w:rPr>
          <w:color w:val="000000" w:themeColor="text1"/>
        </w:rPr>
        <w:t xml:space="preserve"> En juin 1790, la Chambre des représentants adopta le projet de loi ad hoc et le Sénat l’approuva un mois plus tard. Les effets sur le crédit public furent immédiats. La valeur des obligations d’État américain</w:t>
      </w:r>
      <w:r w:rsidR="00473A76" w:rsidRPr="007375ED">
        <w:rPr>
          <w:color w:val="000000" w:themeColor="text1"/>
        </w:rPr>
        <w:t>e</w:t>
      </w:r>
      <w:r w:rsidRPr="007375ED">
        <w:rPr>
          <w:color w:val="000000" w:themeColor="text1"/>
        </w:rPr>
        <w:t>s a triplé, grâce à l’assurance qu’</w:t>
      </w:r>
      <w:r w:rsidR="00091202" w:rsidRPr="007375ED">
        <w:rPr>
          <w:color w:val="000000" w:themeColor="text1"/>
        </w:rPr>
        <w:t>el</w:t>
      </w:r>
      <w:r w:rsidRPr="007375ED">
        <w:rPr>
          <w:color w:val="000000" w:themeColor="text1"/>
        </w:rPr>
        <w:t>l</w:t>
      </w:r>
      <w:r w:rsidR="00091202" w:rsidRPr="007375ED">
        <w:rPr>
          <w:color w:val="000000" w:themeColor="text1"/>
        </w:rPr>
        <w:t>e</w:t>
      </w:r>
      <w:r w:rsidRPr="007375ED">
        <w:rPr>
          <w:color w:val="000000" w:themeColor="text1"/>
        </w:rPr>
        <w:t>s seraient remboursé</w:t>
      </w:r>
      <w:r w:rsidR="00091202" w:rsidRPr="007375ED">
        <w:rPr>
          <w:color w:val="000000" w:themeColor="text1"/>
        </w:rPr>
        <w:t>e</w:t>
      </w:r>
      <w:r w:rsidRPr="007375ED">
        <w:rPr>
          <w:color w:val="000000" w:themeColor="text1"/>
        </w:rPr>
        <w:t>s</w:t>
      </w:r>
      <w:r w:rsidR="00091202" w:rsidRPr="007375ED">
        <w:rPr>
          <w:color w:val="000000" w:themeColor="text1"/>
        </w:rPr>
        <w:t>.</w:t>
      </w:r>
    </w:p>
    <w:p w14:paraId="5C53CB6E" w14:textId="4719D1D6" w:rsidR="008234E0" w:rsidRPr="007375ED" w:rsidRDefault="00B31967" w:rsidP="003F0CF1">
      <w:pPr>
        <w:suppressAutoHyphens w:val="0"/>
        <w:spacing w:after="120"/>
        <w:jc w:val="both"/>
        <w:rPr>
          <w:color w:val="000000" w:themeColor="text1"/>
        </w:rPr>
      </w:pPr>
      <w:r w:rsidRPr="007375ED">
        <w:rPr>
          <w:color w:val="000000" w:themeColor="text1"/>
        </w:rPr>
        <w:t xml:space="preserve">Fort de ce succès, </w:t>
      </w:r>
      <w:r w:rsidR="007375ED">
        <w:rPr>
          <w:color w:val="000000" w:themeColor="text1"/>
        </w:rPr>
        <w:t xml:space="preserve">en </w:t>
      </w:r>
      <w:r w:rsidR="00091202" w:rsidRPr="007375ED">
        <w:rPr>
          <w:color w:val="000000" w:themeColor="text1"/>
        </w:rPr>
        <w:t xml:space="preserve">décembre 1790, </w:t>
      </w:r>
      <w:r w:rsidRPr="007375ED">
        <w:rPr>
          <w:color w:val="000000" w:themeColor="text1"/>
        </w:rPr>
        <w:t xml:space="preserve">Hamilton </w:t>
      </w:r>
      <w:r w:rsidR="00091202" w:rsidRPr="007375ED">
        <w:rPr>
          <w:color w:val="000000" w:themeColor="text1"/>
        </w:rPr>
        <w:t>proposa de créer une banque nationale pour dynamiser l’économie. Malgré l’opposition de James Madison et de Thomas Jefferson</w:t>
      </w:r>
      <w:r w:rsidRPr="007375ED">
        <w:rPr>
          <w:color w:val="000000" w:themeColor="text1"/>
        </w:rPr>
        <w:t xml:space="preserve"> à l’intervention de l’État dans la vie économique</w:t>
      </w:r>
      <w:r w:rsidR="00091202" w:rsidRPr="007375ED">
        <w:rPr>
          <w:color w:val="000000" w:themeColor="text1"/>
        </w:rPr>
        <w:t>, Hamilton sut convaincre Washington que la banque allait accélérer le traitement des recettes, le recouvrement des impôts et la régulation du commerce. Washington signa le projet de loi portant création d’une banque nationale le 25 février 1791.</w:t>
      </w:r>
      <w:r w:rsidR="005208A1" w:rsidRPr="007375ED">
        <w:rPr>
          <w:rStyle w:val="Appelnotedebasdep"/>
          <w:color w:val="000000" w:themeColor="text1"/>
        </w:rPr>
        <w:footnoteReference w:id="1"/>
      </w:r>
      <w:r w:rsidR="00881824">
        <w:rPr>
          <w:color w:val="000000" w:themeColor="text1"/>
        </w:rPr>
        <w:t xml:space="preserve"> Ainsi, </w:t>
      </w:r>
      <w:r w:rsidR="006373A4">
        <w:rPr>
          <w:color w:val="000000" w:themeColor="text1"/>
        </w:rPr>
        <w:t>peu</w:t>
      </w:r>
      <w:r w:rsidR="00881824">
        <w:rPr>
          <w:color w:val="000000" w:themeColor="text1"/>
        </w:rPr>
        <w:t xml:space="preserve"> après l’adoption de la constitution fédérale américaine, </w:t>
      </w:r>
      <w:r w:rsidR="00881824" w:rsidRPr="007375ED">
        <w:rPr>
          <w:color w:val="000000"/>
        </w:rPr>
        <w:t xml:space="preserve">les bases de la future puissance </w:t>
      </w:r>
      <w:r w:rsidR="00881824">
        <w:rPr>
          <w:color w:val="000000"/>
        </w:rPr>
        <w:t xml:space="preserve">économique </w:t>
      </w:r>
      <w:r w:rsidR="00881824" w:rsidRPr="007375ED">
        <w:rPr>
          <w:color w:val="000000"/>
        </w:rPr>
        <w:t>américaine</w:t>
      </w:r>
      <w:r w:rsidR="00881824">
        <w:rPr>
          <w:color w:val="000000"/>
        </w:rPr>
        <w:t xml:space="preserve"> étaient posées.</w:t>
      </w:r>
      <w:r w:rsidR="008A6BD4">
        <w:rPr>
          <w:color w:val="000000"/>
        </w:rPr>
        <w:t xml:space="preserve"> Hamilton a en outre </w:t>
      </w:r>
      <w:r w:rsidR="008A6BD4" w:rsidRPr="007375ED">
        <w:rPr>
          <w:color w:val="000000" w:themeColor="text1"/>
        </w:rPr>
        <w:t>complété</w:t>
      </w:r>
      <w:r w:rsidR="008A6BD4">
        <w:rPr>
          <w:color w:val="000000" w:themeColor="text1"/>
        </w:rPr>
        <w:t xml:space="preserve"> </w:t>
      </w:r>
      <w:r w:rsidR="008A6BD4" w:rsidRPr="007375ED">
        <w:rPr>
          <w:color w:val="000000" w:themeColor="text1"/>
        </w:rPr>
        <w:t xml:space="preserve">la constitution </w:t>
      </w:r>
      <w:r w:rsidR="008A6BD4">
        <w:rPr>
          <w:color w:val="000000" w:themeColor="text1"/>
        </w:rPr>
        <w:t xml:space="preserve">fédérale américaine </w:t>
      </w:r>
      <w:r w:rsidR="008A6BD4" w:rsidRPr="007375ED">
        <w:rPr>
          <w:color w:val="000000" w:themeColor="text1"/>
        </w:rPr>
        <w:t>de 1787</w:t>
      </w:r>
      <w:r w:rsidR="008A6BD4">
        <w:rPr>
          <w:color w:val="000000" w:themeColor="text1"/>
        </w:rPr>
        <w:t>,</w:t>
      </w:r>
      <w:r w:rsidR="008A6BD4" w:rsidRPr="007375ED">
        <w:rPr>
          <w:color w:val="000000" w:themeColor="text1"/>
        </w:rPr>
        <w:t xml:space="preserve"> en vertu des compétences implicites qu’elle confère dans divers domaines au pouvoir exécutif, en particulier dans la finance.</w:t>
      </w:r>
    </w:p>
    <w:p w14:paraId="13ADB16E" w14:textId="60C18F96" w:rsidR="00881824" w:rsidRPr="00881824" w:rsidRDefault="00881824" w:rsidP="00881824">
      <w:pPr>
        <w:spacing w:after="120"/>
        <w:rPr>
          <w:b/>
          <w:bCs/>
          <w:color w:val="000000"/>
        </w:rPr>
      </w:pPr>
      <w:r w:rsidRPr="00881824">
        <w:rPr>
          <w:b/>
          <w:bCs/>
          <w:color w:val="000000"/>
        </w:rPr>
        <w:t>Le « moment hamiltonien » de l'U</w:t>
      </w:r>
      <w:r w:rsidR="00B27FDD">
        <w:rPr>
          <w:b/>
          <w:bCs/>
          <w:color w:val="000000"/>
        </w:rPr>
        <w:t>E</w:t>
      </w:r>
      <w:r w:rsidR="00EF2FB2">
        <w:rPr>
          <w:b/>
          <w:bCs/>
          <w:color w:val="000000"/>
        </w:rPr>
        <w:t xml:space="preserve"> ne fut qu’un mirage</w:t>
      </w:r>
    </w:p>
    <w:p w14:paraId="0AEC21C4" w14:textId="78D94CD1" w:rsidR="00881824" w:rsidRDefault="00CF3A51" w:rsidP="00CF3A51">
      <w:pPr>
        <w:spacing w:after="120"/>
        <w:jc w:val="both"/>
        <w:rPr>
          <w:color w:val="000000"/>
        </w:rPr>
      </w:pPr>
      <w:r>
        <w:rPr>
          <w:color w:val="000000"/>
        </w:rPr>
        <w:t xml:space="preserve">Peu après </w:t>
      </w:r>
      <w:r w:rsidR="00881824" w:rsidRPr="007375ED">
        <w:rPr>
          <w:color w:val="000000"/>
        </w:rPr>
        <w:t>l’autorisation donnée le 21 juillet 2020 à la Commission européenne de lancer un emprunt de 750 milliards d’euros</w:t>
      </w:r>
      <w:r>
        <w:rPr>
          <w:color w:val="000000"/>
        </w:rPr>
        <w:t xml:space="preserve"> </w:t>
      </w:r>
      <w:r w:rsidR="004D4740" w:rsidRPr="00EF2FB2">
        <w:rPr>
          <w:color w:val="000000" w:themeColor="text1"/>
          <w:shd w:val="clear" w:color="auto" w:fill="F8F8F8"/>
        </w:rPr>
        <w:t>a</w:t>
      </w:r>
      <w:r w:rsidR="002F6BED">
        <w:rPr>
          <w:color w:val="000000" w:themeColor="text1"/>
          <w:shd w:val="clear" w:color="auto" w:fill="F8F8F8"/>
        </w:rPr>
        <w:t>fin d’a</w:t>
      </w:r>
      <w:r w:rsidR="004D4740" w:rsidRPr="00EF2FB2">
        <w:rPr>
          <w:color w:val="000000" w:themeColor="text1"/>
          <w:shd w:val="clear" w:color="auto" w:fill="F8F8F8"/>
        </w:rPr>
        <w:t>ider financièrement les pays les plus touchés par les conséquences de la pandémie Covid19</w:t>
      </w:r>
      <w:r w:rsidR="002F6BED">
        <w:rPr>
          <w:color w:val="000000" w:themeColor="text1"/>
          <w:shd w:val="clear" w:color="auto" w:fill="F8F8F8"/>
        </w:rPr>
        <w:t>,</w:t>
      </w:r>
      <w:r w:rsidR="004D4740">
        <w:rPr>
          <w:color w:val="000000" w:themeColor="text1"/>
          <w:shd w:val="clear" w:color="auto" w:fill="F8F8F8"/>
        </w:rPr>
        <w:t xml:space="preserve"> </w:t>
      </w:r>
      <w:r>
        <w:rPr>
          <w:color w:val="000000"/>
        </w:rPr>
        <w:t xml:space="preserve">s’est </w:t>
      </w:r>
      <w:r w:rsidRPr="007375ED">
        <w:rPr>
          <w:color w:val="000000"/>
        </w:rPr>
        <w:t>posée la question de savoir s</w:t>
      </w:r>
      <w:r>
        <w:rPr>
          <w:color w:val="000000"/>
        </w:rPr>
        <w:t>’</w:t>
      </w:r>
      <w:r w:rsidRPr="007375ED">
        <w:rPr>
          <w:color w:val="000000"/>
        </w:rPr>
        <w:t>i</w:t>
      </w:r>
      <w:r>
        <w:rPr>
          <w:color w:val="000000"/>
        </w:rPr>
        <w:t>l</w:t>
      </w:r>
      <w:r w:rsidR="00881824" w:rsidRPr="007375ED">
        <w:rPr>
          <w:color w:val="000000"/>
        </w:rPr>
        <w:t xml:space="preserve"> allait rester dans l’histoire comme le « moment hamiltonien » de l’U</w:t>
      </w:r>
      <w:r w:rsidR="00881824">
        <w:rPr>
          <w:color w:val="000000"/>
        </w:rPr>
        <w:t>E</w:t>
      </w:r>
      <w:r w:rsidR="006373A4">
        <w:rPr>
          <w:color w:val="000000"/>
        </w:rPr>
        <w:t> :</w:t>
      </w:r>
      <w:r w:rsidR="00881824" w:rsidRPr="007375ED">
        <w:rPr>
          <w:color w:val="000000"/>
        </w:rPr>
        <w:t xml:space="preserve"> </w:t>
      </w:r>
      <w:r>
        <w:rPr>
          <w:color w:val="000000"/>
        </w:rPr>
        <w:t xml:space="preserve">certains </w:t>
      </w:r>
      <w:r w:rsidR="00881824" w:rsidRPr="007375ED">
        <w:rPr>
          <w:color w:val="000000"/>
        </w:rPr>
        <w:t>considéra</w:t>
      </w:r>
      <w:r w:rsidR="006373A4">
        <w:rPr>
          <w:color w:val="000000"/>
        </w:rPr>
        <w:t>ie</w:t>
      </w:r>
      <w:r w:rsidR="00881824" w:rsidRPr="007375ED">
        <w:rPr>
          <w:color w:val="000000"/>
        </w:rPr>
        <w:t>nt à tort que cet emprunt créait une dette « fédérale ».</w:t>
      </w:r>
      <w:r w:rsidRPr="007375ED">
        <w:rPr>
          <w:rStyle w:val="Appelnotedebasdep"/>
          <w:color w:val="000000"/>
        </w:rPr>
        <w:footnoteReference w:id="2"/>
      </w:r>
      <w:r w:rsidR="00881824" w:rsidRPr="007375ED">
        <w:rPr>
          <w:color w:val="000000"/>
        </w:rPr>
        <w:t xml:space="preserve"> </w:t>
      </w:r>
      <w:r w:rsidR="00881824">
        <w:rPr>
          <w:color w:val="000000"/>
        </w:rPr>
        <w:t>Ce</w:t>
      </w:r>
      <w:r w:rsidR="006373A4">
        <w:rPr>
          <w:color w:val="000000"/>
        </w:rPr>
        <w:t xml:space="preserve"> </w:t>
      </w:r>
      <w:r w:rsidR="00881824">
        <w:rPr>
          <w:color w:val="000000"/>
        </w:rPr>
        <w:t>t</w:t>
      </w:r>
      <w:r w:rsidR="006373A4">
        <w:rPr>
          <w:color w:val="000000"/>
        </w:rPr>
        <w:t>erm</w:t>
      </w:r>
      <w:r w:rsidR="002F6BED">
        <w:rPr>
          <w:color w:val="000000"/>
        </w:rPr>
        <w:t>e</w:t>
      </w:r>
      <w:r w:rsidR="00881824">
        <w:rPr>
          <w:color w:val="000000"/>
        </w:rPr>
        <w:t xml:space="preserve"> </w:t>
      </w:r>
      <w:r w:rsidR="006373A4">
        <w:rPr>
          <w:color w:val="000000"/>
        </w:rPr>
        <w:t xml:space="preserve">est </w:t>
      </w:r>
      <w:r w:rsidR="00881824">
        <w:rPr>
          <w:color w:val="000000"/>
        </w:rPr>
        <w:t>un non-sens, puisque l’UE n’est pas une fédération, mais bien une association d’États.</w:t>
      </w:r>
      <w:r w:rsidR="00881824" w:rsidRPr="007375ED">
        <w:rPr>
          <w:color w:val="000000"/>
        </w:rPr>
        <w:t xml:space="preserve"> </w:t>
      </w:r>
      <w:r w:rsidR="00EF2FB2">
        <w:rPr>
          <w:color w:val="000000"/>
        </w:rPr>
        <w:t>L</w:t>
      </w:r>
      <w:r w:rsidR="00881824" w:rsidRPr="007375ED">
        <w:rPr>
          <w:color w:val="000000"/>
        </w:rPr>
        <w:t>a mutualisation des dettes des 13 États américains par Alexander Hamilton en 1790 a renforcé le gouvernement fédéral</w:t>
      </w:r>
      <w:r w:rsidR="00EF2FB2">
        <w:rPr>
          <w:color w:val="000000"/>
        </w:rPr>
        <w:t>, elle ne l’a pas créé</w:t>
      </w:r>
      <w:r w:rsidR="00881824" w:rsidRPr="007375ED">
        <w:rPr>
          <w:color w:val="000000"/>
        </w:rPr>
        <w:t>.</w:t>
      </w:r>
      <w:r w:rsidR="006373A4">
        <w:rPr>
          <w:color w:val="000000"/>
        </w:rPr>
        <w:t xml:space="preserve"> C’est la constitution fédérale qui a institué </w:t>
      </w:r>
      <w:r w:rsidR="006373A4" w:rsidRPr="007375ED">
        <w:rPr>
          <w:color w:val="000000"/>
        </w:rPr>
        <w:t>le gouvernement fédéral</w:t>
      </w:r>
      <w:r w:rsidR="006373A4">
        <w:rPr>
          <w:color w:val="000000"/>
        </w:rPr>
        <w:t xml:space="preserve"> américain.</w:t>
      </w:r>
    </w:p>
    <w:p w14:paraId="1058F387" w14:textId="7AE03544" w:rsidR="00EF2FB2" w:rsidRDefault="00EF2FB2" w:rsidP="00103FDA">
      <w:pPr>
        <w:spacing w:after="120"/>
        <w:jc w:val="both"/>
        <w:rPr>
          <w:color w:val="000000" w:themeColor="text1"/>
          <w:shd w:val="clear" w:color="auto" w:fill="F8F8F8"/>
        </w:rPr>
      </w:pPr>
      <w:r w:rsidRPr="00EF2FB2">
        <w:rPr>
          <w:color w:val="000000" w:themeColor="text1"/>
          <w:shd w:val="clear" w:color="auto" w:fill="F8F8F8"/>
        </w:rPr>
        <w:t>L’</w:t>
      </w:r>
      <w:r w:rsidRPr="00EF2FB2">
        <w:rPr>
          <w:color w:val="000000" w:themeColor="text1"/>
        </w:rPr>
        <w:t>emprunt de 750 milliards d’euros</w:t>
      </w:r>
      <w:r w:rsidRPr="00EF2FB2">
        <w:rPr>
          <w:color w:val="000000" w:themeColor="text1"/>
          <w:shd w:val="clear" w:color="auto" w:fill="F8F8F8"/>
        </w:rPr>
        <w:t xml:space="preserve"> </w:t>
      </w:r>
      <w:r w:rsidR="006373A4">
        <w:rPr>
          <w:color w:val="000000" w:themeColor="text1"/>
          <w:shd w:val="clear" w:color="auto" w:fill="F8F8F8"/>
        </w:rPr>
        <w:t xml:space="preserve">de 2020 </w:t>
      </w:r>
      <w:r w:rsidRPr="00EF2FB2">
        <w:rPr>
          <w:color w:val="000000" w:themeColor="text1"/>
          <w:shd w:val="clear" w:color="auto" w:fill="F8F8F8"/>
        </w:rPr>
        <w:t>n’a provoqué aucun changement dans les institutions de l’UE</w:t>
      </w:r>
      <w:r w:rsidR="004D4740">
        <w:rPr>
          <w:color w:val="000000" w:themeColor="text1"/>
          <w:shd w:val="clear" w:color="auto" w:fill="F8F8F8"/>
        </w:rPr>
        <w:t> ;</w:t>
      </w:r>
      <w:r w:rsidRPr="00EF2FB2">
        <w:rPr>
          <w:color w:val="000000" w:themeColor="text1"/>
          <w:shd w:val="clear" w:color="auto" w:fill="F8F8F8"/>
        </w:rPr>
        <w:t xml:space="preserve"> il n’a pas ouvert la voie à la fédéralisation de l’Europe.</w:t>
      </w:r>
      <w:r>
        <w:rPr>
          <w:color w:val="000000" w:themeColor="text1"/>
          <w:shd w:val="clear" w:color="auto" w:fill="F8F8F8"/>
        </w:rPr>
        <w:t xml:space="preserve"> Cet emprunt n’est </w:t>
      </w:r>
      <w:r>
        <w:rPr>
          <w:color w:val="000000" w:themeColor="text1"/>
          <w:shd w:val="clear" w:color="auto" w:fill="F8F8F8"/>
        </w:rPr>
        <w:lastRenderedPageBreak/>
        <w:t xml:space="preserve">que la manifestation de la solidarité </w:t>
      </w:r>
      <w:r w:rsidR="004D4740">
        <w:rPr>
          <w:color w:val="000000" w:themeColor="text1"/>
          <w:shd w:val="clear" w:color="auto" w:fill="F8F8F8"/>
        </w:rPr>
        <w:t xml:space="preserve">ponctuelle </w:t>
      </w:r>
      <w:r>
        <w:rPr>
          <w:color w:val="000000" w:themeColor="text1"/>
          <w:shd w:val="clear" w:color="auto" w:fill="F8F8F8"/>
        </w:rPr>
        <w:t xml:space="preserve">des </w:t>
      </w:r>
      <w:r w:rsidR="00103FDA">
        <w:rPr>
          <w:color w:val="000000" w:themeColor="text1"/>
          <w:shd w:val="clear" w:color="auto" w:fill="F8F8F8"/>
        </w:rPr>
        <w:t xml:space="preserve">pays </w:t>
      </w:r>
      <w:r w:rsidR="00103FDA" w:rsidRPr="00103FDA">
        <w:rPr>
          <w:color w:val="000000" w:themeColor="text1"/>
          <w:shd w:val="clear" w:color="auto" w:fill="F8F8F8"/>
        </w:rPr>
        <w:t>du nord</w:t>
      </w:r>
      <w:r w:rsidR="00103FDA">
        <w:rPr>
          <w:color w:val="000000" w:themeColor="text1"/>
          <w:shd w:val="clear" w:color="auto" w:fill="F8F8F8"/>
        </w:rPr>
        <w:t>,</w:t>
      </w:r>
      <w:r w:rsidR="00103FDA" w:rsidRPr="00103FDA">
        <w:rPr>
          <w:color w:val="000000" w:themeColor="text1"/>
          <w:shd w:val="clear" w:color="auto" w:fill="F8F8F8"/>
        </w:rPr>
        <w:t xml:space="preserve"> qui profitent le plus</w:t>
      </w:r>
      <w:r w:rsidR="00103FDA">
        <w:rPr>
          <w:color w:val="000000" w:themeColor="text1"/>
          <w:shd w:val="clear" w:color="auto" w:fill="F8F8F8"/>
        </w:rPr>
        <w:t xml:space="preserve"> du marché et de la monnaie uniques</w:t>
      </w:r>
      <w:r w:rsidR="004D4740">
        <w:rPr>
          <w:color w:val="000000" w:themeColor="text1"/>
          <w:shd w:val="clear" w:color="auto" w:fill="F8F8F8"/>
        </w:rPr>
        <w:t>,</w:t>
      </w:r>
      <w:r w:rsidR="00103FDA" w:rsidRPr="00103FDA">
        <w:rPr>
          <w:color w:val="000000" w:themeColor="text1"/>
          <w:shd w:val="clear" w:color="auto" w:fill="F8F8F8"/>
        </w:rPr>
        <w:t xml:space="preserve"> en</w:t>
      </w:r>
      <w:r w:rsidR="00103FDA">
        <w:rPr>
          <w:color w:val="000000" w:themeColor="text1"/>
          <w:shd w:val="clear" w:color="auto" w:fill="F8F8F8"/>
        </w:rPr>
        <w:t>vers ceux dont le développement</w:t>
      </w:r>
      <w:r w:rsidR="00103FDA" w:rsidRPr="00103FDA">
        <w:rPr>
          <w:color w:val="000000" w:themeColor="text1"/>
          <w:shd w:val="clear" w:color="auto" w:fill="F8F8F8"/>
        </w:rPr>
        <w:t xml:space="preserve"> économique</w:t>
      </w:r>
      <w:r w:rsidR="00103FDA">
        <w:rPr>
          <w:color w:val="000000" w:themeColor="text1"/>
          <w:shd w:val="clear" w:color="auto" w:fill="F8F8F8"/>
        </w:rPr>
        <w:t xml:space="preserve"> est plus faible.</w:t>
      </w:r>
    </w:p>
    <w:p w14:paraId="62349DFB" w14:textId="13CCCFFD" w:rsidR="00CF3A51" w:rsidRDefault="00103FDA" w:rsidP="00103FDA">
      <w:pPr>
        <w:spacing w:after="120"/>
        <w:jc w:val="both"/>
        <w:rPr>
          <w:color w:val="000000" w:themeColor="text1"/>
          <w:shd w:val="clear" w:color="auto" w:fill="F8F8F8"/>
        </w:rPr>
      </w:pPr>
      <w:r>
        <w:rPr>
          <w:color w:val="000000" w:themeColor="text1"/>
          <w:shd w:val="clear" w:color="auto" w:fill="F8F8F8"/>
        </w:rPr>
        <w:t>Contrairement à l’État fédéral américain, qui emprunte chaque année, l</w:t>
      </w:r>
      <w:r w:rsidR="00CF3A51">
        <w:rPr>
          <w:color w:val="000000" w:themeColor="text1"/>
          <w:shd w:val="clear" w:color="auto" w:fill="F8F8F8"/>
        </w:rPr>
        <w:t>’</w:t>
      </w:r>
      <w:r w:rsidRPr="00103FDA">
        <w:rPr>
          <w:color w:val="000000" w:themeColor="text1"/>
          <w:shd w:val="clear" w:color="auto" w:fill="F8F8F8"/>
        </w:rPr>
        <w:t>e</w:t>
      </w:r>
      <w:r w:rsidR="00CF3A51">
        <w:rPr>
          <w:color w:val="000000" w:themeColor="text1"/>
          <w:shd w:val="clear" w:color="auto" w:fill="F8F8F8"/>
        </w:rPr>
        <w:t xml:space="preserve">mprunt </w:t>
      </w:r>
      <w:r w:rsidRPr="00103FDA">
        <w:rPr>
          <w:color w:val="000000" w:themeColor="text1"/>
          <w:shd w:val="clear" w:color="auto" w:fill="F8F8F8"/>
        </w:rPr>
        <w:t xml:space="preserve">de </w:t>
      </w:r>
      <w:r w:rsidR="00CF3A51">
        <w:rPr>
          <w:color w:val="000000" w:themeColor="text1"/>
          <w:shd w:val="clear" w:color="auto" w:fill="F8F8F8"/>
        </w:rPr>
        <w:t xml:space="preserve">2020 ne constitue pas </w:t>
      </w:r>
      <w:r w:rsidR="00CF3A51" w:rsidRPr="00103FDA">
        <w:rPr>
          <w:color w:val="000000" w:themeColor="text1"/>
          <w:shd w:val="clear" w:color="auto" w:fill="F8F8F8"/>
        </w:rPr>
        <w:t>un « précédent »</w:t>
      </w:r>
      <w:r w:rsidR="00CF3A51">
        <w:rPr>
          <w:color w:val="000000" w:themeColor="text1"/>
          <w:shd w:val="clear" w:color="auto" w:fill="F8F8F8"/>
        </w:rPr>
        <w:t>. Les</w:t>
      </w:r>
      <w:r w:rsidR="00CF3A51" w:rsidRPr="00103FDA">
        <w:rPr>
          <w:color w:val="000000" w:themeColor="text1"/>
          <w:shd w:val="clear" w:color="auto" w:fill="F8F8F8"/>
        </w:rPr>
        <w:t xml:space="preserve"> </w:t>
      </w:r>
      <w:r w:rsidRPr="00103FDA">
        <w:rPr>
          <w:color w:val="000000" w:themeColor="text1"/>
          <w:shd w:val="clear" w:color="auto" w:fill="F8F8F8"/>
        </w:rPr>
        <w:t xml:space="preserve">750 milliards d’euros </w:t>
      </w:r>
      <w:r w:rsidR="00CF3A51">
        <w:rPr>
          <w:color w:val="000000" w:themeColor="text1"/>
          <w:shd w:val="clear" w:color="auto" w:fill="F8F8F8"/>
        </w:rPr>
        <w:t>s</w:t>
      </w:r>
      <w:r w:rsidRPr="00103FDA">
        <w:rPr>
          <w:color w:val="000000" w:themeColor="text1"/>
          <w:shd w:val="clear" w:color="auto" w:fill="F8F8F8"/>
        </w:rPr>
        <w:t>e</w:t>
      </w:r>
      <w:r w:rsidR="00CF3A51">
        <w:rPr>
          <w:color w:val="000000" w:themeColor="text1"/>
          <w:shd w:val="clear" w:color="auto" w:fill="F8F8F8"/>
        </w:rPr>
        <w:t>ront</w:t>
      </w:r>
      <w:r w:rsidRPr="00103FDA">
        <w:rPr>
          <w:color w:val="000000" w:themeColor="text1"/>
          <w:shd w:val="clear" w:color="auto" w:fill="F8F8F8"/>
        </w:rPr>
        <w:t xml:space="preserve"> rembours</w:t>
      </w:r>
      <w:r w:rsidR="00CF3A51">
        <w:rPr>
          <w:color w:val="000000" w:themeColor="text1"/>
          <w:shd w:val="clear" w:color="auto" w:fill="F8F8F8"/>
        </w:rPr>
        <w:t>és</w:t>
      </w:r>
      <w:r w:rsidRPr="00103FDA">
        <w:rPr>
          <w:color w:val="000000" w:themeColor="text1"/>
          <w:shd w:val="clear" w:color="auto" w:fill="F8F8F8"/>
        </w:rPr>
        <w:t xml:space="preserve"> </w:t>
      </w:r>
      <w:r w:rsidR="002F6BED">
        <w:rPr>
          <w:color w:val="000000" w:themeColor="text1"/>
          <w:shd w:val="clear" w:color="auto" w:fill="F8F8F8"/>
        </w:rPr>
        <w:t>en</w:t>
      </w:r>
      <w:r w:rsidRPr="00103FDA">
        <w:rPr>
          <w:color w:val="000000" w:themeColor="text1"/>
          <w:shd w:val="clear" w:color="auto" w:fill="F8F8F8"/>
        </w:rPr>
        <w:t xml:space="preserve"> 30 ans</w:t>
      </w:r>
      <w:r w:rsidR="0076564C">
        <w:rPr>
          <w:color w:val="000000" w:themeColor="text1"/>
          <w:shd w:val="clear" w:color="auto" w:fill="F8F8F8"/>
        </w:rPr>
        <w:t xml:space="preserve">, </w:t>
      </w:r>
      <w:r w:rsidR="0076564C" w:rsidRPr="00103FDA">
        <w:rPr>
          <w:color w:val="000000" w:themeColor="text1"/>
          <w:shd w:val="clear" w:color="auto" w:fill="F8F8F8"/>
        </w:rPr>
        <w:t>via le budget européen</w:t>
      </w:r>
      <w:r w:rsidR="0076564C">
        <w:rPr>
          <w:color w:val="000000" w:themeColor="text1"/>
          <w:shd w:val="clear" w:color="auto" w:fill="F8F8F8"/>
        </w:rPr>
        <w:t xml:space="preserve"> pour les</w:t>
      </w:r>
      <w:r w:rsidR="002F6BED" w:rsidRPr="00103FDA">
        <w:rPr>
          <w:color w:val="000000" w:themeColor="text1"/>
          <w:shd w:val="clear" w:color="auto" w:fill="F8F8F8"/>
        </w:rPr>
        <w:t xml:space="preserve"> 390 milliards de subventions</w:t>
      </w:r>
      <w:r w:rsidR="002F6BED">
        <w:rPr>
          <w:color w:val="000000" w:themeColor="text1"/>
          <w:shd w:val="clear" w:color="auto" w:fill="F8F8F8"/>
        </w:rPr>
        <w:t>. Il faudra donc sabrer dans les dépenses</w:t>
      </w:r>
      <w:r w:rsidR="00554A1E">
        <w:rPr>
          <w:color w:val="000000" w:themeColor="text1"/>
          <w:shd w:val="clear" w:color="auto" w:fill="F8F8F8"/>
        </w:rPr>
        <w:t xml:space="preserve"> </w:t>
      </w:r>
      <w:r w:rsidR="0076564C">
        <w:rPr>
          <w:color w:val="000000" w:themeColor="text1"/>
          <w:shd w:val="clear" w:color="auto" w:fill="F8F8F8"/>
        </w:rPr>
        <w:t>de l’UE, par exemple en réduisant l</w:t>
      </w:r>
      <w:r w:rsidR="00554A1E">
        <w:rPr>
          <w:color w:val="000000" w:themeColor="text1"/>
          <w:shd w:val="clear" w:color="auto" w:fill="F8F8F8"/>
        </w:rPr>
        <w:t>es fonds de cohésion</w:t>
      </w:r>
      <w:r w:rsidR="00E751E0">
        <w:rPr>
          <w:color w:val="000000" w:themeColor="text1"/>
          <w:shd w:val="clear" w:color="auto" w:fill="F8F8F8"/>
        </w:rPr>
        <w:t>, ou augmenter les ressources propres, ce que le Conseil européen refuse jusqu’à présent</w:t>
      </w:r>
      <w:r w:rsidR="00CF3A51">
        <w:rPr>
          <w:color w:val="000000" w:themeColor="text1"/>
          <w:shd w:val="clear" w:color="auto" w:fill="F8F8F8"/>
        </w:rPr>
        <w:t>. L</w:t>
      </w:r>
      <w:r w:rsidRPr="00103FDA">
        <w:rPr>
          <w:color w:val="000000" w:themeColor="text1"/>
          <w:shd w:val="clear" w:color="auto" w:fill="F8F8F8"/>
        </w:rPr>
        <w:t>a solidarité financière n’</w:t>
      </w:r>
      <w:r w:rsidR="00CF3A51">
        <w:rPr>
          <w:color w:val="000000" w:themeColor="text1"/>
          <w:shd w:val="clear" w:color="auto" w:fill="F8F8F8"/>
        </w:rPr>
        <w:t>es</w:t>
      </w:r>
      <w:r w:rsidRPr="00103FDA">
        <w:rPr>
          <w:color w:val="000000" w:themeColor="text1"/>
          <w:shd w:val="clear" w:color="auto" w:fill="F8F8F8"/>
        </w:rPr>
        <w:t xml:space="preserve">t </w:t>
      </w:r>
      <w:r w:rsidR="002F6BED">
        <w:rPr>
          <w:color w:val="000000" w:themeColor="text1"/>
          <w:shd w:val="clear" w:color="auto" w:fill="F8F8F8"/>
        </w:rPr>
        <w:t>manifestement</w:t>
      </w:r>
      <w:r w:rsidR="00CF3A51">
        <w:rPr>
          <w:color w:val="000000" w:themeColor="text1"/>
          <w:shd w:val="clear" w:color="auto" w:fill="F8F8F8"/>
        </w:rPr>
        <w:t xml:space="preserve"> pas pérenne au sein de l’UE, contrairement </w:t>
      </w:r>
      <w:r w:rsidR="0076564C">
        <w:rPr>
          <w:color w:val="000000" w:themeColor="text1"/>
          <w:shd w:val="clear" w:color="auto" w:fill="F8F8F8"/>
        </w:rPr>
        <w:t>à</w:t>
      </w:r>
      <w:r w:rsidR="00CF3A51">
        <w:rPr>
          <w:color w:val="000000" w:themeColor="text1"/>
          <w:shd w:val="clear" w:color="auto" w:fill="F8F8F8"/>
        </w:rPr>
        <w:t xml:space="preserve"> ce qui se passe au sein de l’État fédéral américain</w:t>
      </w:r>
      <w:r w:rsidRPr="00103FDA">
        <w:rPr>
          <w:color w:val="000000" w:themeColor="text1"/>
          <w:shd w:val="clear" w:color="auto" w:fill="F8F8F8"/>
        </w:rPr>
        <w:t>.</w:t>
      </w:r>
    </w:p>
    <w:p w14:paraId="799337F9" w14:textId="2E36C7EE" w:rsidR="004D4740" w:rsidRPr="004D4740" w:rsidRDefault="001C2D0B" w:rsidP="00CC33EA">
      <w:pPr>
        <w:suppressAutoHyphens w:val="0"/>
        <w:autoSpaceDE w:val="0"/>
        <w:autoSpaceDN w:val="0"/>
        <w:adjustRightInd w:val="0"/>
        <w:snapToGrid w:val="0"/>
        <w:spacing w:after="120"/>
        <w:jc w:val="both"/>
        <w:rPr>
          <w:rFonts w:eastAsiaTheme="minorHAnsi"/>
          <w:b/>
          <w:bCs/>
          <w:color w:val="000000" w:themeColor="text1"/>
          <w:lang w:val="fr-FR" w:eastAsia="en-US"/>
          <w14:ligatures w14:val="standardContextual"/>
        </w:rPr>
      </w:pPr>
      <w:r>
        <w:rPr>
          <w:rFonts w:eastAsiaTheme="minorHAnsi"/>
          <w:b/>
          <w:bCs/>
          <w:color w:val="000000" w:themeColor="text1"/>
          <w:lang w:val="fr-FR" w:eastAsia="en-US"/>
          <w14:ligatures w14:val="standardContextual"/>
        </w:rPr>
        <w:t>L</w:t>
      </w:r>
      <w:r w:rsidR="004D4740" w:rsidRPr="004D4740">
        <w:rPr>
          <w:rFonts w:eastAsiaTheme="minorHAnsi"/>
          <w:b/>
          <w:bCs/>
          <w:color w:val="000000" w:themeColor="text1"/>
          <w:lang w:val="fr-FR" w:eastAsia="en-US"/>
          <w14:ligatures w14:val="standardContextual"/>
        </w:rPr>
        <w:t xml:space="preserve">es décideurs européens </w:t>
      </w:r>
      <w:r>
        <w:rPr>
          <w:rFonts w:eastAsiaTheme="minorHAnsi"/>
          <w:b/>
          <w:bCs/>
          <w:color w:val="000000" w:themeColor="text1"/>
          <w:lang w:val="fr-FR" w:eastAsia="en-US"/>
          <w14:ligatures w14:val="standardContextual"/>
        </w:rPr>
        <w:t xml:space="preserve">sont souvent </w:t>
      </w:r>
      <w:r w:rsidR="004D4740" w:rsidRPr="004D4740">
        <w:rPr>
          <w:rFonts w:eastAsiaTheme="minorHAnsi"/>
          <w:b/>
          <w:bCs/>
          <w:color w:val="000000" w:themeColor="text1"/>
          <w:lang w:val="fr-FR" w:eastAsia="en-US"/>
          <w14:ligatures w14:val="standardContextual"/>
        </w:rPr>
        <w:t>inconséquents</w:t>
      </w:r>
    </w:p>
    <w:p w14:paraId="5B893135" w14:textId="77777777" w:rsidR="00034C73" w:rsidRDefault="00CC33EA" w:rsidP="00CC33EA">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7375ED">
        <w:rPr>
          <w:rFonts w:eastAsiaTheme="minorHAnsi"/>
          <w:color w:val="000000" w:themeColor="text1"/>
          <w:lang w:val="fr-FR" w:eastAsia="en-US"/>
          <w14:ligatures w14:val="standardContextual"/>
        </w:rPr>
        <w:t xml:space="preserve">En Europe, les </w:t>
      </w:r>
      <w:r w:rsidR="00554A1E">
        <w:rPr>
          <w:rFonts w:eastAsiaTheme="minorHAnsi"/>
          <w:color w:val="000000" w:themeColor="text1"/>
          <w:lang w:val="fr-FR" w:eastAsia="en-US"/>
          <w14:ligatures w14:val="standardContextual"/>
        </w:rPr>
        <w:t>gouve</w:t>
      </w:r>
      <w:r w:rsidR="004D4740">
        <w:rPr>
          <w:rFonts w:eastAsiaTheme="minorHAnsi"/>
          <w:color w:val="000000" w:themeColor="text1"/>
          <w:lang w:val="fr-FR" w:eastAsia="en-US"/>
          <w14:ligatures w14:val="standardContextual"/>
        </w:rPr>
        <w:t>r</w:t>
      </w:r>
      <w:r w:rsidR="00554A1E">
        <w:rPr>
          <w:rFonts w:eastAsiaTheme="minorHAnsi"/>
          <w:color w:val="000000" w:themeColor="text1"/>
          <w:lang w:val="fr-FR" w:eastAsia="en-US"/>
          <w14:ligatures w14:val="standardContextual"/>
        </w:rPr>
        <w:t>n</w:t>
      </w:r>
      <w:r w:rsidR="004D4740">
        <w:rPr>
          <w:rFonts w:eastAsiaTheme="minorHAnsi"/>
          <w:color w:val="000000" w:themeColor="text1"/>
          <w:lang w:val="fr-FR" w:eastAsia="en-US"/>
          <w14:ligatures w14:val="standardContextual"/>
        </w:rPr>
        <w:t xml:space="preserve">ants qui sont </w:t>
      </w:r>
      <w:r w:rsidRPr="007375ED">
        <w:rPr>
          <w:rFonts w:eastAsiaTheme="minorHAnsi"/>
          <w:color w:val="000000" w:themeColor="text1"/>
          <w:lang w:val="fr-FR" w:eastAsia="en-US"/>
          <w14:ligatures w14:val="standardContextual"/>
        </w:rPr>
        <w:t xml:space="preserve">partisans d’une intégration </w:t>
      </w:r>
      <w:r w:rsidR="00D0545B">
        <w:rPr>
          <w:rFonts w:eastAsiaTheme="minorHAnsi"/>
          <w:color w:val="000000" w:themeColor="text1"/>
          <w:lang w:val="fr-FR" w:eastAsia="en-US"/>
          <w14:ligatures w14:val="standardContextual"/>
        </w:rPr>
        <w:t>plus forte</w:t>
      </w:r>
      <w:r w:rsidR="00034C73">
        <w:rPr>
          <w:rFonts w:eastAsiaTheme="minorHAnsi"/>
          <w:color w:val="000000" w:themeColor="text1"/>
          <w:lang w:val="fr-FR" w:eastAsia="en-US"/>
          <w14:ligatures w14:val="standardContextual"/>
        </w:rPr>
        <w:t>, et rejettent la fédération,</w:t>
      </w:r>
      <w:r w:rsidR="00D0545B">
        <w:rPr>
          <w:rFonts w:eastAsiaTheme="minorHAnsi"/>
          <w:color w:val="000000" w:themeColor="text1"/>
          <w:lang w:val="fr-FR" w:eastAsia="en-US"/>
          <w14:ligatures w14:val="standardContextual"/>
        </w:rPr>
        <w:t xml:space="preserve"> </w:t>
      </w:r>
      <w:r w:rsidRPr="007375ED">
        <w:rPr>
          <w:rFonts w:eastAsiaTheme="minorHAnsi"/>
          <w:color w:val="000000" w:themeColor="text1"/>
          <w:lang w:val="fr-FR" w:eastAsia="en-US"/>
          <w14:ligatures w14:val="standardContextual"/>
        </w:rPr>
        <w:t>mettent régulièrement la charrue avant les bœufs.</w:t>
      </w:r>
    </w:p>
    <w:p w14:paraId="46AD9229" w14:textId="6F6EA86A" w:rsidR="00034C73" w:rsidRDefault="00CC33EA" w:rsidP="00CC33EA">
      <w:pPr>
        <w:suppressAutoHyphens w:val="0"/>
        <w:autoSpaceDE w:val="0"/>
        <w:autoSpaceDN w:val="0"/>
        <w:adjustRightInd w:val="0"/>
        <w:snapToGrid w:val="0"/>
        <w:spacing w:after="120"/>
        <w:jc w:val="both"/>
        <w:rPr>
          <w:rFonts w:eastAsiaTheme="minorHAnsi"/>
          <w:color w:val="000000"/>
        </w:rPr>
      </w:pPr>
      <w:r w:rsidRPr="007375ED">
        <w:rPr>
          <w:rFonts w:eastAsiaTheme="minorHAnsi"/>
          <w:color w:val="000000" w:themeColor="text1"/>
          <w:lang w:val="fr-FR" w:eastAsia="en-US"/>
          <w14:ligatures w14:val="standardContextual"/>
        </w:rPr>
        <w:t xml:space="preserve">Ce fut le cas </w:t>
      </w:r>
      <w:r w:rsidR="008F53B1">
        <w:rPr>
          <w:rFonts w:eastAsiaTheme="minorHAnsi"/>
          <w:color w:val="000000" w:themeColor="text1"/>
          <w:lang w:val="fr-FR" w:eastAsia="en-US"/>
          <w14:ligatures w14:val="standardContextual"/>
        </w:rPr>
        <w:t xml:space="preserve">en 1952 </w:t>
      </w:r>
      <w:r w:rsidRPr="007375ED">
        <w:rPr>
          <w:rFonts w:eastAsiaTheme="minorHAnsi"/>
          <w:color w:val="000000" w:themeColor="text1"/>
          <w:lang w:val="fr-FR" w:eastAsia="en-US"/>
          <w14:ligatures w14:val="standardContextual"/>
        </w:rPr>
        <w:t xml:space="preserve">lorsque le projet de traité sur la Communauté européenne de défense a précédé celui </w:t>
      </w:r>
      <w:r w:rsidR="0076564C">
        <w:rPr>
          <w:rFonts w:eastAsiaTheme="minorHAnsi"/>
          <w:color w:val="000000" w:themeColor="text1"/>
          <w:lang w:val="fr-FR" w:eastAsia="en-US"/>
          <w14:ligatures w14:val="standardContextual"/>
        </w:rPr>
        <w:t>sur la</w:t>
      </w:r>
      <w:r w:rsidRPr="007375ED">
        <w:rPr>
          <w:rFonts w:eastAsiaTheme="minorHAnsi"/>
          <w:color w:val="000000" w:themeColor="text1"/>
          <w:lang w:val="fr-FR" w:eastAsia="en-US"/>
          <w14:ligatures w14:val="standardContextual"/>
        </w:rPr>
        <w:t xml:space="preserve"> Communauté politique européenne</w:t>
      </w:r>
      <w:r w:rsidRPr="00D0545B">
        <w:rPr>
          <w:rFonts w:eastAsiaTheme="minorHAnsi"/>
          <w:color w:val="000000" w:themeColor="text1"/>
          <w:lang w:val="fr-FR" w:eastAsia="en-US"/>
          <w14:ligatures w14:val="standardContextual"/>
        </w:rPr>
        <w:t xml:space="preserve">. </w:t>
      </w:r>
      <w:r w:rsidR="00142F39" w:rsidRPr="00D0545B">
        <w:rPr>
          <w:color w:val="000000"/>
        </w:rPr>
        <w:t xml:space="preserve">Ce furent deux échecs </w:t>
      </w:r>
      <w:r w:rsidR="00D0545B" w:rsidRPr="00D0545B">
        <w:rPr>
          <w:color w:val="000000"/>
        </w:rPr>
        <w:t>inéluctables</w:t>
      </w:r>
      <w:r w:rsidR="0076564C">
        <w:rPr>
          <w:color w:val="000000"/>
        </w:rPr>
        <w:t> :</w:t>
      </w:r>
      <w:r w:rsidR="00D0545B" w:rsidRPr="00D0545B">
        <w:rPr>
          <w:color w:val="000000"/>
        </w:rPr>
        <w:t xml:space="preserve"> </w:t>
      </w:r>
      <w:r w:rsidR="00034C73" w:rsidRPr="00034C73">
        <w:rPr>
          <w:color w:val="000000"/>
        </w:rPr>
        <w:t>Charles de Gaulle avait raison, en</w:t>
      </w:r>
      <w:r w:rsidR="0076564C">
        <w:rPr>
          <w:color w:val="000000"/>
        </w:rPr>
        <w:t xml:space="preserve"> </w:t>
      </w:r>
      <w:r w:rsidR="00034C73" w:rsidRPr="00034C73">
        <w:rPr>
          <w:color w:val="000000"/>
        </w:rPr>
        <w:t>1953, de s’opposer à la Communauté européenne de défense et d’exiger une Europe politique, capable de définir une politique européenne de sécurité, comme préalable à une armée européenne.</w:t>
      </w:r>
    </w:p>
    <w:p w14:paraId="1A53D64C" w14:textId="54AB46D4" w:rsidR="00CF3A51" w:rsidRPr="00CC33EA" w:rsidRDefault="00CC33EA" w:rsidP="00CC33EA">
      <w:pPr>
        <w:suppressAutoHyphens w:val="0"/>
        <w:autoSpaceDE w:val="0"/>
        <w:autoSpaceDN w:val="0"/>
        <w:adjustRightInd w:val="0"/>
        <w:snapToGrid w:val="0"/>
        <w:spacing w:after="120"/>
        <w:jc w:val="both"/>
        <w:rPr>
          <w:color w:val="000000" w:themeColor="text1"/>
          <w:shd w:val="clear" w:color="auto" w:fill="F8F8F8"/>
        </w:rPr>
      </w:pPr>
      <w:r w:rsidRPr="007375ED">
        <w:rPr>
          <w:rFonts w:eastAsiaTheme="minorHAnsi"/>
          <w:color w:val="000000" w:themeColor="text1"/>
          <w:lang w:val="fr-FR" w:eastAsia="en-US"/>
          <w14:ligatures w14:val="standardContextual"/>
        </w:rPr>
        <w:t xml:space="preserve">Ce fut encore le cas lorsque la monnaie unique a été </w:t>
      </w:r>
      <w:r>
        <w:rPr>
          <w:rFonts w:eastAsiaTheme="minorHAnsi"/>
          <w:color w:val="000000" w:themeColor="text1"/>
          <w:lang w:val="fr-FR" w:eastAsia="en-US"/>
          <w14:ligatures w14:val="standardContextual"/>
        </w:rPr>
        <w:t>instau</w:t>
      </w:r>
      <w:r w:rsidRPr="007375ED">
        <w:rPr>
          <w:rFonts w:eastAsiaTheme="minorHAnsi"/>
          <w:color w:val="000000" w:themeColor="text1"/>
          <w:lang w:val="fr-FR" w:eastAsia="en-US"/>
          <w14:ligatures w14:val="standardContextual"/>
        </w:rPr>
        <w:t>rée sans que l’union politique de l’Europe ne soit réalisée</w:t>
      </w:r>
      <w:r w:rsidR="00554A1E">
        <w:rPr>
          <w:rFonts w:eastAsiaTheme="minorHAnsi"/>
          <w:color w:val="000000" w:themeColor="text1"/>
          <w:lang w:val="fr-FR" w:eastAsia="en-US"/>
          <w14:ligatures w14:val="standardContextual"/>
        </w:rPr>
        <w:t>. L</w:t>
      </w:r>
      <w:r w:rsidR="004D4740">
        <w:rPr>
          <w:rFonts w:eastAsiaTheme="minorHAnsi"/>
          <w:color w:val="000000" w:themeColor="text1"/>
          <w:lang w:val="fr-FR" w:eastAsia="en-US"/>
          <w14:ligatures w14:val="standardContextual"/>
        </w:rPr>
        <w:t>’</w:t>
      </w:r>
      <w:r w:rsidR="00D0545B">
        <w:rPr>
          <w:rFonts w:eastAsiaTheme="minorHAnsi"/>
          <w:color w:val="000000" w:themeColor="text1"/>
          <w:lang w:val="fr-FR" w:eastAsia="en-US"/>
          <w14:ligatures w14:val="standardContextual"/>
        </w:rPr>
        <w:t>e</w:t>
      </w:r>
      <w:r w:rsidR="004D4740">
        <w:rPr>
          <w:rFonts w:eastAsiaTheme="minorHAnsi"/>
          <w:color w:val="000000" w:themeColor="text1"/>
          <w:lang w:val="fr-FR" w:eastAsia="en-US"/>
          <w14:ligatures w14:val="standardContextual"/>
        </w:rPr>
        <w:t>uro</w:t>
      </w:r>
      <w:r w:rsidR="00D0545B">
        <w:rPr>
          <w:rFonts w:eastAsiaTheme="minorHAnsi"/>
          <w:color w:val="000000" w:themeColor="text1"/>
          <w:lang w:val="fr-FR" w:eastAsia="en-US"/>
          <w14:ligatures w14:val="standardContextual"/>
        </w:rPr>
        <w:t xml:space="preserve"> reste </w:t>
      </w:r>
      <w:r w:rsidR="00554A1E">
        <w:rPr>
          <w:rFonts w:eastAsiaTheme="minorHAnsi"/>
          <w:color w:val="000000" w:themeColor="text1"/>
          <w:lang w:val="fr-FR" w:eastAsia="en-US"/>
          <w14:ligatures w14:val="standardContextual"/>
        </w:rPr>
        <w:t xml:space="preserve">donc </w:t>
      </w:r>
      <w:r w:rsidR="00D0545B">
        <w:rPr>
          <w:rFonts w:eastAsiaTheme="minorHAnsi"/>
          <w:color w:val="000000" w:themeColor="text1"/>
          <w:lang w:val="fr-FR" w:eastAsia="en-US"/>
          <w14:ligatures w14:val="standardContextual"/>
        </w:rPr>
        <w:t>vulnérable</w:t>
      </w:r>
      <w:r w:rsidRPr="007375ED">
        <w:rPr>
          <w:rFonts w:eastAsiaTheme="minorHAnsi"/>
          <w:color w:val="000000" w:themeColor="text1"/>
          <w:lang w:val="fr-FR" w:eastAsia="en-US"/>
          <w14:ligatures w14:val="standardContextual"/>
        </w:rPr>
        <w:t>.</w:t>
      </w:r>
      <w:r>
        <w:rPr>
          <w:rFonts w:eastAsiaTheme="minorHAnsi"/>
          <w:color w:val="000000" w:themeColor="text1"/>
          <w:lang w:val="fr-FR" w:eastAsia="en-US"/>
          <w14:ligatures w14:val="standardContextual"/>
        </w:rPr>
        <w:t xml:space="preserve"> </w:t>
      </w:r>
      <w:r w:rsidR="008F53B1">
        <w:rPr>
          <w:rFonts w:eastAsiaTheme="minorHAnsi"/>
          <w:color w:val="000000" w:themeColor="text1"/>
          <w:lang w:val="fr-FR" w:eastAsia="en-US"/>
          <w14:ligatures w14:val="standardContextual"/>
        </w:rPr>
        <w:t xml:space="preserve">En 1992, </w:t>
      </w:r>
      <w:r w:rsidRPr="00CC33EA">
        <w:rPr>
          <w:color w:val="000000" w:themeColor="text1"/>
        </w:rPr>
        <w:t xml:space="preserve">M. Kohl avait expliqué, mais en vain, à M. Mitterrand, que le fédéralisme est la seule forme pertinente d’intégration politique supranationale. </w:t>
      </w:r>
      <w:r w:rsidR="00554A1E">
        <w:rPr>
          <w:rFonts w:eastAsiaTheme="minorHAnsi"/>
          <w:color w:val="000000" w:themeColor="text1"/>
          <w:lang w:val="fr-FR" w:eastAsia="en-US"/>
          <w14:ligatures w14:val="standardContextual"/>
        </w:rPr>
        <w:t xml:space="preserve">Le </w:t>
      </w:r>
      <w:r>
        <w:rPr>
          <w:rFonts w:eastAsiaTheme="minorHAnsi"/>
          <w:color w:val="000000" w:themeColor="text1"/>
          <w:lang w:val="fr-FR" w:eastAsia="en-US"/>
          <w14:ligatures w14:val="standardContextual"/>
        </w:rPr>
        <w:t>général Bentégeat</w:t>
      </w:r>
      <w:r w:rsidR="00554A1E">
        <w:rPr>
          <w:rFonts w:eastAsiaTheme="minorHAnsi"/>
          <w:color w:val="000000" w:themeColor="text1"/>
          <w:lang w:val="fr-FR" w:eastAsia="en-US"/>
          <w14:ligatures w14:val="standardContextual"/>
        </w:rPr>
        <w:t xml:space="preserve"> a </w:t>
      </w:r>
      <w:r w:rsidR="00F82474">
        <w:rPr>
          <w:rFonts w:eastAsiaTheme="minorHAnsi"/>
          <w:color w:val="000000" w:themeColor="text1"/>
          <w:lang w:val="fr-FR" w:eastAsia="en-US"/>
          <w14:ligatures w14:val="standardContextual"/>
        </w:rPr>
        <w:t>estim</w:t>
      </w:r>
      <w:r w:rsidR="00554A1E">
        <w:rPr>
          <w:rFonts w:eastAsiaTheme="minorHAnsi"/>
          <w:color w:val="000000" w:themeColor="text1"/>
          <w:lang w:val="fr-FR" w:eastAsia="en-US"/>
          <w14:ligatures w14:val="standardContextual"/>
        </w:rPr>
        <w:t xml:space="preserve">é </w:t>
      </w:r>
      <w:r w:rsidR="00F82474">
        <w:rPr>
          <w:rFonts w:eastAsiaTheme="minorHAnsi"/>
          <w:color w:val="000000" w:themeColor="text1"/>
          <w:lang w:val="fr-FR" w:eastAsia="en-US"/>
          <w14:ligatures w14:val="standardContextual"/>
        </w:rPr>
        <w:t>qu</w:t>
      </w:r>
      <w:r w:rsidR="00554A1E">
        <w:rPr>
          <w:rFonts w:eastAsiaTheme="minorHAnsi"/>
          <w:color w:val="000000" w:themeColor="text1"/>
          <w:lang w:val="fr-FR" w:eastAsia="en-US"/>
          <w14:ligatures w14:val="standardContextual"/>
        </w:rPr>
        <w:t>e</w:t>
      </w:r>
      <w:r>
        <w:rPr>
          <w:rFonts w:eastAsiaTheme="minorHAnsi"/>
          <w:color w:val="000000" w:themeColor="text1"/>
          <w:lang w:val="fr-FR" w:eastAsia="en-US"/>
          <w14:ligatures w14:val="standardContextual"/>
        </w:rPr>
        <w:t> : « </w:t>
      </w:r>
      <w:r>
        <w:rPr>
          <w:rFonts w:eastAsiaTheme="minorHAnsi"/>
          <w:color w:val="000000"/>
          <w:lang w:val="fr-FR" w:eastAsia="en-US"/>
          <w14:ligatures w14:val="standardContextual"/>
        </w:rPr>
        <w:t>[</w:t>
      </w:r>
      <w:r>
        <w:rPr>
          <w:color w:val="000000" w:themeColor="text1"/>
        </w:rPr>
        <w:t>L</w:t>
      </w:r>
      <w:r w:rsidRPr="007375ED">
        <w:rPr>
          <w:rFonts w:eastAsiaTheme="minorHAnsi"/>
          <w:color w:val="000000" w:themeColor="text1"/>
          <w:lang w:val="fr-FR" w:eastAsia="en-US"/>
          <w14:ligatures w14:val="standardContextual"/>
        </w:rPr>
        <w:t>’union politique</w:t>
      </w:r>
      <w:r>
        <w:rPr>
          <w:rFonts w:eastAsiaTheme="minorHAnsi"/>
          <w:color w:val="000000"/>
          <w:lang w:val="fr-FR" w:eastAsia="en-US"/>
          <w14:ligatures w14:val="standardContextual"/>
        </w:rPr>
        <w:t>]</w:t>
      </w:r>
      <w:r>
        <w:rPr>
          <w:rFonts w:eastAsiaTheme="minorHAnsi"/>
          <w:color w:val="000000" w:themeColor="text1"/>
          <w:lang w:val="fr-FR" w:eastAsia="en-US"/>
          <w14:ligatures w14:val="standardContextual"/>
        </w:rPr>
        <w:t xml:space="preserve"> </w:t>
      </w:r>
      <w:r w:rsidRPr="00CC33EA">
        <w:rPr>
          <w:color w:val="000000" w:themeColor="text1"/>
        </w:rPr>
        <w:t>aurait refermé nos déchirures internes, nous aurait apporté le partage d’un destin commun, destin qui implique des responsabilités communes de défense et de sécurité</w:t>
      </w:r>
      <w:r>
        <w:rPr>
          <w:rFonts w:eastAsiaTheme="minorHAnsi"/>
          <w:color w:val="000000" w:themeColor="text1"/>
          <w:lang w:val="fr-FR" w:eastAsia="en-US"/>
          <w14:ligatures w14:val="standardContextual"/>
        </w:rPr>
        <w:t> ».</w:t>
      </w:r>
      <w:r w:rsidRPr="00CC33EA">
        <w:rPr>
          <w:rStyle w:val="Appelnotedebasdep"/>
          <w:rFonts w:eastAsiaTheme="majorEastAsia"/>
          <w:color w:val="000000" w:themeColor="text1"/>
        </w:rPr>
        <w:footnoteReference w:id="3"/>
      </w:r>
      <w:r w:rsidR="00034C73">
        <w:rPr>
          <w:rFonts w:eastAsiaTheme="minorHAnsi"/>
          <w:color w:val="000000" w:themeColor="text1"/>
          <w:lang w:val="fr-FR" w:eastAsia="en-US"/>
          <w14:ligatures w14:val="standardContextual"/>
        </w:rPr>
        <w:t xml:space="preserve"> </w:t>
      </w:r>
      <w:r w:rsidR="00034C73">
        <w:rPr>
          <w:color w:val="000000" w:themeColor="text1"/>
        </w:rPr>
        <w:t>L</w:t>
      </w:r>
      <w:r w:rsidR="00034C73" w:rsidRPr="007375ED">
        <w:rPr>
          <w:rFonts w:eastAsiaTheme="minorHAnsi"/>
          <w:color w:val="000000" w:themeColor="text1"/>
          <w:lang w:val="fr-FR" w:eastAsia="en-US"/>
          <w14:ligatures w14:val="standardContextual"/>
        </w:rPr>
        <w:t>’union politique</w:t>
      </w:r>
      <w:r w:rsidR="00034C73">
        <w:rPr>
          <w:rFonts w:eastAsiaTheme="minorHAnsi"/>
          <w:color w:val="000000"/>
          <w:lang w:val="fr-FR" w:eastAsia="en-US"/>
          <w14:ligatures w14:val="standardContextual"/>
        </w:rPr>
        <w:t xml:space="preserve"> aurait sans doute </w:t>
      </w:r>
      <w:r w:rsidR="00E751E0">
        <w:rPr>
          <w:rFonts w:eastAsiaTheme="minorHAnsi"/>
          <w:color w:val="000000"/>
          <w:lang w:val="fr-FR" w:eastAsia="en-US"/>
          <w14:ligatures w14:val="standardContextual"/>
        </w:rPr>
        <w:t xml:space="preserve">amélioré la gouvernance européenne, ce qui aurait </w:t>
      </w:r>
      <w:r w:rsidR="00034C73">
        <w:rPr>
          <w:rFonts w:eastAsiaTheme="minorHAnsi"/>
          <w:color w:val="000000"/>
          <w:lang w:val="fr-FR" w:eastAsia="en-US"/>
          <w14:ligatures w14:val="standardContextual"/>
        </w:rPr>
        <w:t xml:space="preserve">évité le retour de </w:t>
      </w:r>
      <w:r w:rsidR="00416D7C">
        <w:rPr>
          <w:rFonts w:eastAsiaTheme="minorHAnsi"/>
          <w:color w:val="000000"/>
          <w:lang w:val="fr-FR" w:eastAsia="en-US"/>
          <w14:ligatures w14:val="standardContextual"/>
        </w:rPr>
        <w:t>l</w:t>
      </w:r>
      <w:r w:rsidR="00034C73">
        <w:rPr>
          <w:rFonts w:eastAsiaTheme="minorHAnsi"/>
          <w:color w:val="000000"/>
          <w:lang w:val="fr-FR" w:eastAsia="en-US"/>
          <w14:ligatures w14:val="standardContextual"/>
        </w:rPr>
        <w:t xml:space="preserve">a guerre en Europe </w:t>
      </w:r>
      <w:r w:rsidR="0076564C">
        <w:rPr>
          <w:rFonts w:eastAsiaTheme="minorHAnsi"/>
          <w:color w:val="000000"/>
          <w:lang w:val="fr-FR" w:eastAsia="en-US"/>
          <w14:ligatures w14:val="standardContextual"/>
        </w:rPr>
        <w:t xml:space="preserve">en 2008 </w:t>
      </w:r>
      <w:r w:rsidR="00034C73">
        <w:rPr>
          <w:rFonts w:eastAsiaTheme="minorHAnsi"/>
          <w:color w:val="000000"/>
          <w:lang w:val="fr-FR" w:eastAsia="en-US"/>
          <w14:ligatures w14:val="standardContextual"/>
        </w:rPr>
        <w:t>et l’humiliation de T</w:t>
      </w:r>
      <w:r w:rsidR="00416D7C">
        <w:rPr>
          <w:rFonts w:eastAsiaTheme="minorHAnsi"/>
          <w:color w:val="000000"/>
          <w:lang w:val="fr-FR" w:eastAsia="en-US"/>
          <w14:ligatures w14:val="standardContextual"/>
        </w:rPr>
        <w:t>u</w:t>
      </w:r>
      <w:r w:rsidR="00034C73">
        <w:rPr>
          <w:rFonts w:eastAsiaTheme="minorHAnsi"/>
          <w:color w:val="000000"/>
          <w:lang w:val="fr-FR" w:eastAsia="en-US"/>
          <w14:ligatures w14:val="standardContextual"/>
        </w:rPr>
        <w:t>rnb</w:t>
      </w:r>
      <w:r w:rsidR="00416D7C">
        <w:rPr>
          <w:rFonts w:eastAsiaTheme="minorHAnsi"/>
          <w:color w:val="000000"/>
          <w:lang w:val="fr-FR" w:eastAsia="en-US"/>
          <w14:ligatures w14:val="standardContextual"/>
        </w:rPr>
        <w:t>er</w:t>
      </w:r>
      <w:r w:rsidR="00034C73">
        <w:rPr>
          <w:rFonts w:eastAsiaTheme="minorHAnsi"/>
          <w:color w:val="000000"/>
          <w:lang w:val="fr-FR" w:eastAsia="en-US"/>
          <w14:ligatures w14:val="standardContextual"/>
        </w:rPr>
        <w:t>ry</w:t>
      </w:r>
      <w:r w:rsidR="00416D7C">
        <w:rPr>
          <w:rFonts w:eastAsiaTheme="minorHAnsi"/>
          <w:color w:val="000000"/>
          <w:lang w:val="fr-FR" w:eastAsia="en-US"/>
          <w14:ligatures w14:val="standardContextual"/>
        </w:rPr>
        <w:t>, le 27 juillet 2025</w:t>
      </w:r>
      <w:r w:rsidR="00034C73">
        <w:rPr>
          <w:rFonts w:eastAsiaTheme="minorHAnsi"/>
          <w:color w:val="000000"/>
          <w:lang w:val="fr-FR" w:eastAsia="en-US"/>
          <w14:ligatures w14:val="standardContextual"/>
        </w:rPr>
        <w:t>.</w:t>
      </w:r>
    </w:p>
    <w:p w14:paraId="3CF43210" w14:textId="0D3D276B" w:rsidR="00B31967" w:rsidRPr="007375ED" w:rsidRDefault="00B31967" w:rsidP="00473A76">
      <w:pPr>
        <w:suppressAutoHyphens w:val="0"/>
        <w:spacing w:after="120"/>
        <w:jc w:val="both"/>
        <w:rPr>
          <w:b/>
          <w:bCs/>
          <w:color w:val="000000" w:themeColor="text1"/>
        </w:rPr>
      </w:pPr>
      <w:r w:rsidRPr="007375ED">
        <w:rPr>
          <w:b/>
          <w:bCs/>
          <w:color w:val="000000" w:themeColor="text1"/>
        </w:rPr>
        <w:t>La monnaie unique et la BCE</w:t>
      </w:r>
      <w:r w:rsidR="00926036">
        <w:rPr>
          <w:b/>
          <w:bCs/>
          <w:color w:val="000000" w:themeColor="text1"/>
        </w:rPr>
        <w:t>, deux atouts pour l</w:t>
      </w:r>
      <w:r w:rsidR="00926036" w:rsidRPr="007375ED">
        <w:rPr>
          <w:b/>
          <w:bCs/>
          <w:color w:val="000000" w:themeColor="text1"/>
        </w:rPr>
        <w:t>’Europe</w:t>
      </w:r>
      <w:r w:rsidR="0076564C">
        <w:rPr>
          <w:b/>
          <w:bCs/>
          <w:color w:val="000000" w:themeColor="text1"/>
        </w:rPr>
        <w:t>, qu’il faudrait conforter</w:t>
      </w:r>
    </w:p>
    <w:p w14:paraId="726E0AD6" w14:textId="3D3A9039" w:rsidR="00B31967" w:rsidRPr="007375ED" w:rsidRDefault="00B31967" w:rsidP="007375ED">
      <w:pPr>
        <w:adjustRightInd w:val="0"/>
        <w:spacing w:after="120"/>
        <w:jc w:val="both"/>
        <w:rPr>
          <w:color w:val="000000" w:themeColor="text1"/>
        </w:rPr>
      </w:pPr>
      <w:r w:rsidRPr="007375ED">
        <w:rPr>
          <w:color w:val="000000" w:themeColor="text1"/>
        </w:rPr>
        <w:t>En 1999, le 1</w:t>
      </w:r>
      <w:r w:rsidRPr="007375ED">
        <w:rPr>
          <w:color w:val="000000" w:themeColor="text1"/>
          <w:vertAlign w:val="superscript"/>
        </w:rPr>
        <w:t>er</w:t>
      </w:r>
      <w:r w:rsidRPr="007375ED">
        <w:rPr>
          <w:color w:val="000000" w:themeColor="text1"/>
        </w:rPr>
        <w:t xml:space="preserve"> janvier, réduisant à zéro les fluctuations entre monnaies nationales, qui disparaissent, la monnaie commune, l’euro ou €, </w:t>
      </w:r>
      <w:r w:rsidR="00416D7C">
        <w:rPr>
          <w:color w:val="000000" w:themeColor="text1"/>
        </w:rPr>
        <w:t>a été</w:t>
      </w:r>
      <w:r w:rsidRPr="007375ED">
        <w:rPr>
          <w:color w:val="000000" w:themeColor="text1"/>
        </w:rPr>
        <w:t xml:space="preserve"> créé, sous une forme virtuelle, numérique. Les 11 États participant à la zone € </w:t>
      </w:r>
      <w:r w:rsidR="00416D7C">
        <w:rPr>
          <w:color w:val="000000" w:themeColor="text1"/>
        </w:rPr>
        <w:t>ont cédé</w:t>
      </w:r>
      <w:r w:rsidRPr="007375ED">
        <w:rPr>
          <w:color w:val="000000" w:themeColor="text1"/>
        </w:rPr>
        <w:t xml:space="preserve"> à la Banque centrale européenne (BCE)</w:t>
      </w:r>
      <w:r w:rsidR="00926036">
        <w:rPr>
          <w:color w:val="000000" w:themeColor="text1"/>
        </w:rPr>
        <w:t xml:space="preserve">, </w:t>
      </w:r>
      <w:r w:rsidR="00926036">
        <w:rPr>
          <w:szCs w:val="18"/>
        </w:rPr>
        <w:t>c</w:t>
      </w:r>
      <w:r w:rsidR="00926036" w:rsidRPr="006F4A49">
        <w:rPr>
          <w:szCs w:val="18"/>
        </w:rPr>
        <w:t>réée en 1998, a</w:t>
      </w:r>
      <w:r w:rsidR="00926036">
        <w:rPr>
          <w:szCs w:val="18"/>
        </w:rPr>
        <w:t>vec</w:t>
      </w:r>
      <w:r w:rsidR="00926036" w:rsidRPr="006F4A49">
        <w:rPr>
          <w:szCs w:val="18"/>
        </w:rPr>
        <w:t xml:space="preserve"> un mode de fonctionnement fédéral, comme la Cour de Justice de l’UE</w:t>
      </w:r>
      <w:r w:rsidR="00926036">
        <w:rPr>
          <w:szCs w:val="18"/>
        </w:rPr>
        <w:t>,</w:t>
      </w:r>
      <w:r w:rsidRPr="007375ED">
        <w:rPr>
          <w:color w:val="000000" w:themeColor="text1"/>
        </w:rPr>
        <w:t xml:space="preserve"> leur droit régalien de battre monnaie</w:t>
      </w:r>
      <w:r w:rsidR="00E751E0">
        <w:rPr>
          <w:color w:val="000000" w:themeColor="text1"/>
        </w:rPr>
        <w:t xml:space="preserve"> et</w:t>
      </w:r>
      <w:r w:rsidRPr="007375ED">
        <w:rPr>
          <w:color w:val="000000" w:themeColor="text1"/>
        </w:rPr>
        <w:t xml:space="preserve"> la politique monétaire</w:t>
      </w:r>
      <w:r w:rsidR="00E751E0">
        <w:rPr>
          <w:color w:val="000000" w:themeColor="text1"/>
        </w:rPr>
        <w:t>.</w:t>
      </w:r>
      <w:r w:rsidRPr="007375ED">
        <w:rPr>
          <w:color w:val="000000" w:themeColor="text1"/>
        </w:rPr>
        <w:t xml:space="preserve"> </w:t>
      </w:r>
      <w:r w:rsidR="00E751E0">
        <w:rPr>
          <w:color w:val="000000" w:themeColor="text1"/>
        </w:rPr>
        <w:t>L</w:t>
      </w:r>
      <w:r w:rsidRPr="007375ED">
        <w:rPr>
          <w:color w:val="000000" w:themeColor="text1"/>
        </w:rPr>
        <w:t>e</w:t>
      </w:r>
      <w:r w:rsidR="00E751E0">
        <w:rPr>
          <w:color w:val="000000" w:themeColor="text1"/>
        </w:rPr>
        <w:t>s</w:t>
      </w:r>
      <w:r w:rsidRPr="007375ED">
        <w:rPr>
          <w:color w:val="000000" w:themeColor="text1"/>
        </w:rPr>
        <w:t xml:space="preserve"> banque</w:t>
      </w:r>
      <w:r w:rsidR="00E751E0">
        <w:rPr>
          <w:color w:val="000000" w:themeColor="text1"/>
        </w:rPr>
        <w:t>s</w:t>
      </w:r>
      <w:r w:rsidRPr="007375ED">
        <w:rPr>
          <w:color w:val="000000" w:themeColor="text1"/>
        </w:rPr>
        <w:t xml:space="preserve"> nationale</w:t>
      </w:r>
      <w:r w:rsidR="00E751E0">
        <w:rPr>
          <w:color w:val="000000" w:themeColor="text1"/>
        </w:rPr>
        <w:t xml:space="preserve">s ne sont plus sous la </w:t>
      </w:r>
      <w:r w:rsidR="00E751E0" w:rsidRPr="007375ED">
        <w:rPr>
          <w:color w:val="000000" w:themeColor="text1"/>
        </w:rPr>
        <w:t>tutelle</w:t>
      </w:r>
      <w:r w:rsidR="00E751E0">
        <w:rPr>
          <w:color w:val="000000" w:themeColor="text1"/>
        </w:rPr>
        <w:t xml:space="preserve"> des États, elles </w:t>
      </w:r>
      <w:r w:rsidR="00E751E0" w:rsidRPr="00E10487">
        <w:rPr>
          <w:color w:val="000000" w:themeColor="text1"/>
        </w:rPr>
        <w:t>font partie de l’</w:t>
      </w:r>
      <w:proofErr w:type="spellStart"/>
      <w:r w:rsidR="00E751E0" w:rsidRPr="00E10487">
        <w:rPr>
          <w:color w:val="000000" w:themeColor="text1"/>
        </w:rPr>
        <w:t>eurosysteme</w:t>
      </w:r>
      <w:proofErr w:type="spellEnd"/>
      <w:r w:rsidR="00E751E0">
        <w:rPr>
          <w:color w:val="000000" w:themeColor="text1"/>
        </w:rPr>
        <w:t xml:space="preserve"> et ont un</w:t>
      </w:r>
      <w:r w:rsidR="00E751E0" w:rsidRPr="00E10487">
        <w:rPr>
          <w:color w:val="000000" w:themeColor="text1"/>
        </w:rPr>
        <w:t xml:space="preserve"> mandat commun</w:t>
      </w:r>
      <w:r w:rsidR="00E751E0">
        <w:rPr>
          <w:color w:val="000000" w:themeColor="text1"/>
        </w:rPr>
        <w:t xml:space="preserve">, maintenir la </w:t>
      </w:r>
      <w:r w:rsidR="00E751E0" w:rsidRPr="00E10487">
        <w:rPr>
          <w:color w:val="000000" w:themeColor="text1"/>
        </w:rPr>
        <w:t>stabilité des prix d</w:t>
      </w:r>
      <w:r w:rsidR="00E751E0">
        <w:rPr>
          <w:color w:val="000000" w:themeColor="text1"/>
        </w:rPr>
        <w:t>ans</w:t>
      </w:r>
      <w:r w:rsidR="00E751E0" w:rsidRPr="00E10487">
        <w:rPr>
          <w:color w:val="000000" w:themeColor="text1"/>
        </w:rPr>
        <w:t xml:space="preserve"> la zone eur</w:t>
      </w:r>
      <w:r w:rsidR="00E751E0">
        <w:rPr>
          <w:color w:val="000000" w:themeColor="text1"/>
        </w:rPr>
        <w:t>o. L</w:t>
      </w:r>
      <w:r w:rsidR="00E751E0" w:rsidRPr="00E10487">
        <w:rPr>
          <w:color w:val="000000" w:themeColor="text1"/>
        </w:rPr>
        <w:t>e</w:t>
      </w:r>
      <w:r w:rsidR="00E751E0">
        <w:rPr>
          <w:color w:val="000000" w:themeColor="text1"/>
        </w:rPr>
        <w:t>s</w:t>
      </w:r>
      <w:r w:rsidR="00E751E0" w:rsidRPr="00E10487">
        <w:rPr>
          <w:color w:val="000000" w:themeColor="text1"/>
        </w:rPr>
        <w:t xml:space="preserve"> </w:t>
      </w:r>
      <w:r w:rsidR="00E751E0">
        <w:rPr>
          <w:color w:val="000000" w:themeColor="text1"/>
        </w:rPr>
        <w:t xml:space="preserve">décisions sont </w:t>
      </w:r>
      <w:r w:rsidR="00E751E0" w:rsidRPr="00E10487">
        <w:rPr>
          <w:color w:val="000000" w:themeColor="text1"/>
        </w:rPr>
        <w:t>prise</w:t>
      </w:r>
      <w:r w:rsidR="00E751E0">
        <w:rPr>
          <w:color w:val="000000" w:themeColor="text1"/>
        </w:rPr>
        <w:t>s</w:t>
      </w:r>
      <w:r w:rsidR="00E751E0" w:rsidRPr="00E10487">
        <w:rPr>
          <w:color w:val="000000" w:themeColor="text1"/>
        </w:rPr>
        <w:t xml:space="preserve"> par le Conseil des Gouverneurs</w:t>
      </w:r>
      <w:r w:rsidR="00E751E0">
        <w:rPr>
          <w:color w:val="000000" w:themeColor="text1"/>
        </w:rPr>
        <w:t xml:space="preserve"> et plus par les gouvernements</w:t>
      </w:r>
      <w:r w:rsidRPr="007375ED">
        <w:rPr>
          <w:color w:val="000000" w:themeColor="text1"/>
        </w:rPr>
        <w:t xml:space="preserve">. Ce progrès inouï </w:t>
      </w:r>
      <w:r w:rsidR="00416D7C">
        <w:rPr>
          <w:color w:val="000000" w:themeColor="text1"/>
        </w:rPr>
        <w:t xml:space="preserve">a </w:t>
      </w:r>
      <w:r w:rsidRPr="007375ED">
        <w:rPr>
          <w:color w:val="000000" w:themeColor="text1"/>
        </w:rPr>
        <w:t>renforc</w:t>
      </w:r>
      <w:r w:rsidR="00416D7C">
        <w:rPr>
          <w:color w:val="000000" w:themeColor="text1"/>
        </w:rPr>
        <w:t>é</w:t>
      </w:r>
      <w:r w:rsidRPr="007375ED">
        <w:rPr>
          <w:color w:val="000000" w:themeColor="text1"/>
        </w:rPr>
        <w:t xml:space="preserve"> la crédibilité de l’Europe sur la scène mondiale, perm</w:t>
      </w:r>
      <w:r w:rsidR="00416D7C">
        <w:rPr>
          <w:color w:val="000000" w:themeColor="text1"/>
        </w:rPr>
        <w:t>is</w:t>
      </w:r>
      <w:r w:rsidRPr="007375ED">
        <w:rPr>
          <w:color w:val="000000" w:themeColor="text1"/>
        </w:rPr>
        <w:t xml:space="preserve"> aux banques et aux entreprises de consolider leurs activités transfrontalières en Europe, confort</w:t>
      </w:r>
      <w:r w:rsidR="00416D7C">
        <w:rPr>
          <w:color w:val="000000" w:themeColor="text1"/>
        </w:rPr>
        <w:t>é</w:t>
      </w:r>
      <w:r w:rsidRPr="007375ED">
        <w:rPr>
          <w:color w:val="000000" w:themeColor="text1"/>
        </w:rPr>
        <w:t xml:space="preserve"> le marché unique et les libertés de circulation des personnes, biens, services et capitaux. Malheureusement, la Commission et le Conseil européens tolèrent </w:t>
      </w:r>
      <w:r w:rsidR="00416D7C">
        <w:rPr>
          <w:color w:val="000000" w:themeColor="text1"/>
        </w:rPr>
        <w:t xml:space="preserve">encore </w:t>
      </w:r>
      <w:r w:rsidRPr="007375ED">
        <w:rPr>
          <w:color w:val="000000" w:themeColor="text1"/>
        </w:rPr>
        <w:t>que certains États membres ne rejoignent pas la zone € alors qu’ils y sont tenus par le traité instituant l’Union économique et monétaire, car ils remplissent toutes les conditions d’accès.</w:t>
      </w:r>
    </w:p>
    <w:p w14:paraId="366E01A1" w14:textId="28C9A83E" w:rsidR="00B31967" w:rsidRPr="007375ED" w:rsidRDefault="00B31967" w:rsidP="007375ED">
      <w:pPr>
        <w:adjustRightInd w:val="0"/>
        <w:spacing w:after="120"/>
        <w:jc w:val="both"/>
        <w:rPr>
          <w:color w:val="000000" w:themeColor="text1"/>
        </w:rPr>
      </w:pPr>
      <w:r w:rsidRPr="007375ED">
        <w:rPr>
          <w:color w:val="000000" w:themeColor="text1"/>
        </w:rPr>
        <w:t xml:space="preserve">Bien qu’ils </w:t>
      </w:r>
      <w:r w:rsidR="0076564C">
        <w:rPr>
          <w:color w:val="000000" w:themeColor="text1"/>
        </w:rPr>
        <w:t>pren</w:t>
      </w:r>
      <w:r w:rsidRPr="007375ED">
        <w:rPr>
          <w:color w:val="000000" w:themeColor="text1"/>
        </w:rPr>
        <w:t xml:space="preserve">nent </w:t>
      </w:r>
      <w:r w:rsidR="0076564C">
        <w:rPr>
          <w:color w:val="000000" w:themeColor="text1"/>
        </w:rPr>
        <w:t>en compte</w:t>
      </w:r>
      <w:r w:rsidRPr="007375ED">
        <w:rPr>
          <w:color w:val="000000" w:themeColor="text1"/>
        </w:rPr>
        <w:t xml:space="preserve"> </w:t>
      </w:r>
      <w:r w:rsidRPr="007375ED">
        <w:rPr>
          <w:color w:val="000000" w:themeColor="text1"/>
          <w:shd w:val="clear" w:color="auto" w:fill="FFFFFF"/>
        </w:rPr>
        <w:t>l’intérêt commun</w:t>
      </w:r>
      <w:r w:rsidRPr="007375ED">
        <w:rPr>
          <w:color w:val="000000" w:themeColor="text1"/>
        </w:rPr>
        <w:t xml:space="preserve"> de l’UE, les États membres restent souverains pour les politiques économiques</w:t>
      </w:r>
      <w:r w:rsidR="00E751E0">
        <w:rPr>
          <w:color w:val="000000" w:themeColor="text1"/>
        </w:rPr>
        <w:t xml:space="preserve"> </w:t>
      </w:r>
      <w:r w:rsidRPr="007375ED">
        <w:rPr>
          <w:color w:val="000000" w:themeColor="text1"/>
        </w:rPr>
        <w:t>et fiscales, ainsi que pour la gestion des dettes souveraines</w:t>
      </w:r>
      <w:r w:rsidR="00E751E0">
        <w:rPr>
          <w:color w:val="000000" w:themeColor="text1"/>
        </w:rPr>
        <w:t xml:space="preserve"> ; les règles </w:t>
      </w:r>
      <w:r w:rsidR="00E751E0" w:rsidRPr="007375ED">
        <w:rPr>
          <w:color w:val="000000" w:themeColor="text1"/>
        </w:rPr>
        <w:t>budgétaires</w:t>
      </w:r>
      <w:r w:rsidR="00E751E0">
        <w:rPr>
          <w:color w:val="000000" w:themeColor="text1"/>
        </w:rPr>
        <w:t xml:space="preserve"> européennes sont peu respectées</w:t>
      </w:r>
      <w:r w:rsidRPr="007375ED">
        <w:rPr>
          <w:color w:val="000000" w:themeColor="text1"/>
        </w:rPr>
        <w:t xml:space="preserve">. La BCE n’a pas comme partenaire un pouvoir exécutif fédéral européen, mais des États membres dont les positions et les intérêts </w:t>
      </w:r>
      <w:r w:rsidR="004D3E0E" w:rsidRPr="007375ED">
        <w:rPr>
          <w:color w:val="000000" w:themeColor="text1"/>
        </w:rPr>
        <w:t>divergent</w:t>
      </w:r>
      <w:r w:rsidRPr="007375ED">
        <w:rPr>
          <w:color w:val="000000" w:themeColor="text1"/>
        </w:rPr>
        <w:t xml:space="preserve"> souvent. Enfin, le partage des compétences en matière de supervision et de réglementation des marchés, notamment financiers, entre la BCE et les États membres, </w:t>
      </w:r>
      <w:r w:rsidR="00E751E0">
        <w:rPr>
          <w:color w:val="000000" w:themeColor="text1"/>
        </w:rPr>
        <w:t>n’</w:t>
      </w:r>
      <w:r w:rsidRPr="007375ED">
        <w:rPr>
          <w:color w:val="000000" w:themeColor="text1"/>
        </w:rPr>
        <w:t xml:space="preserve">est </w:t>
      </w:r>
      <w:r w:rsidR="00E751E0">
        <w:rPr>
          <w:color w:val="000000" w:themeColor="text1"/>
        </w:rPr>
        <w:t>pas su</w:t>
      </w:r>
      <w:r w:rsidRPr="007375ED">
        <w:rPr>
          <w:color w:val="000000" w:themeColor="text1"/>
        </w:rPr>
        <w:t>f</w:t>
      </w:r>
      <w:r w:rsidR="00E751E0">
        <w:rPr>
          <w:color w:val="000000" w:themeColor="text1"/>
        </w:rPr>
        <w:t>fisamment précis</w:t>
      </w:r>
      <w:r w:rsidRPr="007375ED">
        <w:rPr>
          <w:color w:val="000000" w:themeColor="text1"/>
        </w:rPr>
        <w:t>.</w:t>
      </w:r>
      <w:r w:rsidR="00926036">
        <w:rPr>
          <w:color w:val="000000" w:themeColor="text1"/>
        </w:rPr>
        <w:t xml:space="preserve"> </w:t>
      </w:r>
      <w:r w:rsidRPr="007375ED">
        <w:rPr>
          <w:color w:val="000000" w:themeColor="text1"/>
        </w:rPr>
        <w:t xml:space="preserve">En effet, la BCE est responsable pour la supervision des banques, dans le cadre du </w:t>
      </w:r>
      <w:r w:rsidRPr="007375ED">
        <w:rPr>
          <w:i/>
          <w:iCs/>
          <w:color w:val="000000" w:themeColor="text1"/>
        </w:rPr>
        <w:t xml:space="preserve">Single </w:t>
      </w:r>
      <w:proofErr w:type="spellStart"/>
      <w:r w:rsidRPr="007375ED">
        <w:rPr>
          <w:i/>
          <w:iCs/>
          <w:color w:val="000000" w:themeColor="text1"/>
        </w:rPr>
        <w:t>Supervisory</w:t>
      </w:r>
      <w:proofErr w:type="spellEnd"/>
      <w:r w:rsidRPr="007375ED">
        <w:rPr>
          <w:i/>
          <w:iCs/>
          <w:color w:val="000000" w:themeColor="text1"/>
        </w:rPr>
        <w:t xml:space="preserve"> </w:t>
      </w:r>
      <w:proofErr w:type="spellStart"/>
      <w:r w:rsidRPr="007375ED">
        <w:rPr>
          <w:i/>
          <w:iCs/>
          <w:color w:val="000000" w:themeColor="text1"/>
        </w:rPr>
        <w:t>Mechanism</w:t>
      </w:r>
      <w:proofErr w:type="spellEnd"/>
      <w:r w:rsidRPr="007375ED">
        <w:rPr>
          <w:color w:val="000000" w:themeColor="text1"/>
        </w:rPr>
        <w:t xml:space="preserve"> (</w:t>
      </w:r>
      <w:r w:rsidR="00771084">
        <w:rPr>
          <w:color w:val="000000" w:themeColor="text1"/>
        </w:rPr>
        <w:t xml:space="preserve">SSM - </w:t>
      </w:r>
      <w:r w:rsidRPr="007375ED">
        <w:rPr>
          <w:color w:val="000000" w:themeColor="text1"/>
        </w:rPr>
        <w:t>Mécanisme de surveillance unique) qui inclut la BCE et les autorités de surveillance des pays participants</w:t>
      </w:r>
      <w:r w:rsidR="00416D7C">
        <w:rPr>
          <w:color w:val="000000" w:themeColor="text1"/>
        </w:rPr>
        <w:t>,</w:t>
      </w:r>
      <w:r w:rsidRPr="007375ED">
        <w:rPr>
          <w:color w:val="000000" w:themeColor="text1"/>
        </w:rPr>
        <w:t xml:space="preserve"> mais en cas de crise bancaire, le mécanisme de résolution bancaire </w:t>
      </w:r>
      <w:r w:rsidR="00680DFC">
        <w:rPr>
          <w:color w:val="000000" w:themeColor="text1"/>
        </w:rPr>
        <w:t xml:space="preserve">sous l’égide du SSM </w:t>
      </w:r>
      <w:r w:rsidR="00680DFC" w:rsidRPr="00680DFC">
        <w:rPr>
          <w:color w:val="000000" w:themeColor="text1"/>
        </w:rPr>
        <w:t xml:space="preserve">ne bénéficie toujours pas d’un </w:t>
      </w:r>
      <w:r w:rsidR="00680DFC" w:rsidRPr="00680DFC">
        <w:rPr>
          <w:color w:val="000000" w:themeColor="text1"/>
        </w:rPr>
        <w:lastRenderedPageBreak/>
        <w:t>système européen de garantie des dépôts</w:t>
      </w:r>
      <w:r w:rsidRPr="007375ED">
        <w:rPr>
          <w:color w:val="000000" w:themeColor="text1"/>
        </w:rPr>
        <w:t>. La supervision des marchés financiers reste, pour une part beaucoup trop importante, une responsabilité nationale.</w:t>
      </w:r>
      <w:r w:rsidR="00926036" w:rsidRPr="007375ED">
        <w:rPr>
          <w:rStyle w:val="Appelnotedebasdep"/>
          <w:rFonts w:eastAsiaTheme="majorEastAsia"/>
          <w:color w:val="000000" w:themeColor="text1"/>
        </w:rPr>
        <w:footnoteReference w:id="4"/>
      </w:r>
    </w:p>
    <w:p w14:paraId="775EA72E" w14:textId="32532AB5" w:rsidR="002850A7" w:rsidRPr="004D3E0E" w:rsidRDefault="00B31967" w:rsidP="007375ED">
      <w:pPr>
        <w:autoSpaceDE w:val="0"/>
        <w:autoSpaceDN w:val="0"/>
        <w:adjustRightInd w:val="0"/>
        <w:spacing w:after="120"/>
        <w:jc w:val="both"/>
        <w:rPr>
          <w:color w:val="000000" w:themeColor="text1"/>
        </w:rPr>
      </w:pPr>
      <w:r w:rsidRPr="007375ED">
        <w:rPr>
          <w:rFonts w:eastAsiaTheme="minorHAnsi"/>
          <w:color w:val="000000" w:themeColor="text1"/>
        </w:rPr>
        <w:t>Soutenue par la création de l'Union bancaire et du Mécanisme européen de stabilité (MES), la BCE a rétabli la confiance sur les marchés des obligations souveraines, perdue suite à la crise financière déclenchée le 15 septembre 2008 par la faillite de Lehman Brothers</w:t>
      </w:r>
      <w:r w:rsidR="004D3E0E">
        <w:rPr>
          <w:rFonts w:eastAsiaTheme="minorHAnsi"/>
          <w:color w:val="000000" w:themeColor="text1"/>
        </w:rPr>
        <w:t> ; elle a</w:t>
      </w:r>
      <w:r w:rsidRPr="007375ED">
        <w:rPr>
          <w:rFonts w:eastAsiaTheme="minorHAnsi"/>
          <w:color w:val="000000" w:themeColor="text1"/>
        </w:rPr>
        <w:t xml:space="preserve"> contribué à réparer le mécanisme de transmission de la politique monétaire et stoppé la récession, en annonçant en juillet 2012 des opérations monétaires directes (</w:t>
      </w:r>
      <w:proofErr w:type="spellStart"/>
      <w:r w:rsidRPr="007375ED">
        <w:rPr>
          <w:rFonts w:eastAsiaTheme="minorHAnsi"/>
          <w:i/>
          <w:iCs/>
          <w:color w:val="000000" w:themeColor="text1"/>
        </w:rPr>
        <w:t>Outright</w:t>
      </w:r>
      <w:proofErr w:type="spellEnd"/>
      <w:r w:rsidRPr="007375ED">
        <w:rPr>
          <w:rFonts w:eastAsiaTheme="minorHAnsi"/>
          <w:i/>
          <w:iCs/>
          <w:color w:val="000000" w:themeColor="text1"/>
        </w:rPr>
        <w:t xml:space="preserve"> </w:t>
      </w:r>
      <w:proofErr w:type="spellStart"/>
      <w:r w:rsidRPr="007375ED">
        <w:rPr>
          <w:rFonts w:eastAsiaTheme="minorHAnsi"/>
          <w:i/>
          <w:iCs/>
          <w:color w:val="000000" w:themeColor="text1"/>
        </w:rPr>
        <w:t>Monetary</w:t>
      </w:r>
      <w:proofErr w:type="spellEnd"/>
      <w:r w:rsidRPr="007375ED">
        <w:rPr>
          <w:rFonts w:eastAsiaTheme="minorHAnsi"/>
          <w:i/>
          <w:iCs/>
          <w:color w:val="000000" w:themeColor="text1"/>
        </w:rPr>
        <w:t xml:space="preserve"> Transactions</w:t>
      </w:r>
      <w:r w:rsidRPr="007375ED">
        <w:rPr>
          <w:rFonts w:eastAsiaTheme="minorHAnsi"/>
          <w:color w:val="000000" w:themeColor="text1"/>
        </w:rPr>
        <w:t xml:space="preserve"> - OMT) </w:t>
      </w:r>
      <w:proofErr w:type="spellStart"/>
      <w:r w:rsidRPr="007375ED">
        <w:rPr>
          <w:rFonts w:eastAsiaTheme="minorHAnsi"/>
          <w:i/>
          <w:iCs/>
          <w:color w:val="000000" w:themeColor="text1"/>
        </w:rPr>
        <w:t>whatever</w:t>
      </w:r>
      <w:proofErr w:type="spellEnd"/>
      <w:r w:rsidRPr="007375ED">
        <w:rPr>
          <w:rFonts w:eastAsiaTheme="minorHAnsi"/>
          <w:i/>
          <w:iCs/>
          <w:color w:val="000000" w:themeColor="text1"/>
        </w:rPr>
        <w:t xml:space="preserve"> it </w:t>
      </w:r>
      <w:proofErr w:type="spellStart"/>
      <w:r w:rsidRPr="007375ED">
        <w:rPr>
          <w:rFonts w:eastAsiaTheme="minorHAnsi"/>
          <w:i/>
          <w:iCs/>
          <w:color w:val="000000" w:themeColor="text1"/>
        </w:rPr>
        <w:t>takes</w:t>
      </w:r>
      <w:proofErr w:type="spellEnd"/>
      <w:r w:rsidRPr="007375ED">
        <w:rPr>
          <w:rFonts w:eastAsiaTheme="minorHAnsi"/>
          <w:color w:val="000000" w:themeColor="text1"/>
        </w:rPr>
        <w:t>, signifiant ainsi que « </w:t>
      </w:r>
      <w:r w:rsidRPr="007375ED">
        <w:rPr>
          <w:color w:val="000000" w:themeColor="text1"/>
          <w:shd w:val="clear" w:color="auto" w:fill="FFFFFF"/>
        </w:rPr>
        <w:t>Dans le cadre de son mandat, la BCE fera tout ce qu’il faut pour préserver l'</w:t>
      </w:r>
      <w:r w:rsidR="009A3145">
        <w:rPr>
          <w:color w:val="000000" w:themeColor="text1"/>
          <w:shd w:val="clear" w:color="auto" w:fill="FFFFFF"/>
        </w:rPr>
        <w:t>euro »</w:t>
      </w:r>
      <w:r w:rsidRPr="007375ED">
        <w:rPr>
          <w:color w:val="000000" w:themeColor="text1"/>
          <w:shd w:val="clear" w:color="auto" w:fill="FFFFFF"/>
        </w:rPr>
        <w:t>.</w:t>
      </w:r>
    </w:p>
    <w:p w14:paraId="2BC68047" w14:textId="3E72CE0C" w:rsidR="00041526" w:rsidRPr="00041526" w:rsidRDefault="00B27FDD" w:rsidP="007375ED">
      <w:pPr>
        <w:autoSpaceDE w:val="0"/>
        <w:autoSpaceDN w:val="0"/>
        <w:adjustRightInd w:val="0"/>
        <w:spacing w:after="120"/>
        <w:jc w:val="both"/>
        <w:rPr>
          <w:rFonts w:eastAsiaTheme="minorHAnsi"/>
          <w:b/>
          <w:bCs/>
          <w:color w:val="000000" w:themeColor="text1"/>
        </w:rPr>
      </w:pPr>
      <w:r>
        <w:rPr>
          <w:rFonts w:eastAsiaTheme="minorHAnsi"/>
          <w:b/>
          <w:bCs/>
          <w:color w:val="000000" w:themeColor="text1"/>
        </w:rPr>
        <w:t>Le</w:t>
      </w:r>
      <w:r w:rsidR="00041526" w:rsidRPr="00041526">
        <w:rPr>
          <w:rFonts w:eastAsiaTheme="minorHAnsi"/>
          <w:b/>
          <w:bCs/>
          <w:color w:val="000000" w:themeColor="text1"/>
        </w:rPr>
        <w:t xml:space="preserve"> discours-programme </w:t>
      </w:r>
      <w:r>
        <w:rPr>
          <w:rFonts w:eastAsiaTheme="minorHAnsi"/>
          <w:b/>
          <w:bCs/>
          <w:color w:val="000000" w:themeColor="text1"/>
        </w:rPr>
        <w:t xml:space="preserve">de M. </w:t>
      </w:r>
      <w:r w:rsidRPr="00680DFC">
        <w:rPr>
          <w:rFonts w:eastAsiaTheme="minorHAnsi"/>
          <w:b/>
          <w:bCs/>
          <w:color w:val="000000" w:themeColor="text1"/>
        </w:rPr>
        <w:t>Draghi</w:t>
      </w:r>
      <w:r w:rsidR="00041526" w:rsidRPr="00680DFC">
        <w:rPr>
          <w:rFonts w:eastAsiaTheme="minorHAnsi"/>
          <w:b/>
          <w:bCs/>
          <w:color w:val="000000" w:themeColor="text1"/>
        </w:rPr>
        <w:t xml:space="preserve"> </w:t>
      </w:r>
      <w:r w:rsidR="00680DFC" w:rsidRPr="00680DFC">
        <w:rPr>
          <w:rFonts w:eastAsiaTheme="minorHAnsi"/>
          <w:b/>
          <w:bCs/>
          <w:color w:val="000000" w:themeColor="text1"/>
        </w:rPr>
        <w:t xml:space="preserve">à Florence </w:t>
      </w:r>
      <w:r w:rsidR="00041526" w:rsidRPr="00041526">
        <w:rPr>
          <w:rFonts w:eastAsiaTheme="minorHAnsi"/>
          <w:b/>
          <w:bCs/>
          <w:color w:val="000000" w:themeColor="text1"/>
        </w:rPr>
        <w:t>répond</w:t>
      </w:r>
      <w:r>
        <w:rPr>
          <w:rFonts w:eastAsiaTheme="minorHAnsi"/>
          <w:b/>
          <w:bCs/>
          <w:color w:val="000000" w:themeColor="text1"/>
        </w:rPr>
        <w:t>ait</w:t>
      </w:r>
      <w:r w:rsidR="00041526" w:rsidRPr="00041526">
        <w:rPr>
          <w:rFonts w:eastAsiaTheme="minorHAnsi"/>
          <w:b/>
          <w:bCs/>
          <w:color w:val="000000" w:themeColor="text1"/>
        </w:rPr>
        <w:t xml:space="preserve"> aux besoins de l’Europe</w:t>
      </w:r>
      <w:r>
        <w:rPr>
          <w:rFonts w:eastAsiaTheme="minorHAnsi"/>
          <w:b/>
          <w:bCs/>
          <w:color w:val="000000" w:themeColor="text1"/>
        </w:rPr>
        <w:t>…</w:t>
      </w:r>
    </w:p>
    <w:p w14:paraId="00782B96" w14:textId="40C97F41" w:rsidR="00B31967" w:rsidRPr="007375ED" w:rsidRDefault="002102CC" w:rsidP="007375ED">
      <w:pPr>
        <w:autoSpaceDE w:val="0"/>
        <w:autoSpaceDN w:val="0"/>
        <w:adjustRightInd w:val="0"/>
        <w:spacing w:after="120"/>
        <w:jc w:val="both"/>
        <w:rPr>
          <w:rFonts w:eastAsiaTheme="minorHAnsi"/>
          <w:color w:val="000000" w:themeColor="text1"/>
        </w:rPr>
      </w:pPr>
      <w:r w:rsidRPr="007375ED">
        <w:rPr>
          <w:rFonts w:eastAsiaTheme="minorHAnsi"/>
          <w:color w:val="000000" w:themeColor="text1"/>
        </w:rPr>
        <w:t xml:space="preserve">En 2018, à Florence, M. Draghi a </w:t>
      </w:r>
      <w:r w:rsidR="00B31967" w:rsidRPr="007375ED">
        <w:rPr>
          <w:rFonts w:eastAsiaTheme="minorHAnsi"/>
          <w:color w:val="000000" w:themeColor="text1"/>
        </w:rPr>
        <w:t>appelé à augmenter la résilience des banques et à achever l'Union bancaire et celle du marché financier</w:t>
      </w:r>
      <w:r w:rsidR="00926036">
        <w:rPr>
          <w:rFonts w:eastAsiaTheme="minorHAnsi"/>
          <w:color w:val="000000" w:themeColor="text1"/>
        </w:rPr>
        <w:t>, q</w:t>
      </w:r>
      <w:r w:rsidR="00B31967" w:rsidRPr="007375ED">
        <w:rPr>
          <w:rFonts w:eastAsiaTheme="minorHAnsi"/>
          <w:color w:val="000000" w:themeColor="text1"/>
        </w:rPr>
        <w:t>ui devrait être régi par un seul ensemble de règles</w:t>
      </w:r>
      <w:r w:rsidR="00926036">
        <w:rPr>
          <w:rFonts w:eastAsiaTheme="minorHAnsi"/>
          <w:color w:val="000000" w:themeColor="text1"/>
        </w:rPr>
        <w:t>,</w:t>
      </w:r>
      <w:r w:rsidR="00926036" w:rsidRPr="007375ED">
        <w:rPr>
          <w:rFonts w:eastAsiaTheme="minorHAnsi"/>
          <w:color w:val="000000" w:themeColor="text1"/>
        </w:rPr>
        <w:t xml:space="preserve"> </w:t>
      </w:r>
      <w:r w:rsidR="00926036">
        <w:rPr>
          <w:rFonts w:eastAsiaTheme="minorHAnsi"/>
          <w:color w:val="000000" w:themeColor="text1"/>
        </w:rPr>
        <w:t>d</w:t>
      </w:r>
      <w:r w:rsidR="00926036" w:rsidRPr="007375ED">
        <w:rPr>
          <w:rFonts w:eastAsiaTheme="minorHAnsi"/>
          <w:color w:val="000000" w:themeColor="text1"/>
        </w:rPr>
        <w:t xml:space="preserve">e pratiques, </w:t>
      </w:r>
      <w:r w:rsidR="00926036">
        <w:rPr>
          <w:rFonts w:eastAsiaTheme="minorHAnsi"/>
          <w:color w:val="000000" w:themeColor="text1"/>
        </w:rPr>
        <w:t>d</w:t>
      </w:r>
      <w:r w:rsidR="00926036" w:rsidRPr="007375ED">
        <w:rPr>
          <w:rFonts w:eastAsiaTheme="minorHAnsi"/>
          <w:color w:val="000000" w:themeColor="text1"/>
        </w:rPr>
        <w:t>e systèmes d'insolvabilité et judiciaires</w:t>
      </w:r>
      <w:r w:rsidR="00926036">
        <w:rPr>
          <w:rFonts w:eastAsiaTheme="minorHAnsi"/>
          <w:color w:val="000000" w:themeColor="text1"/>
        </w:rPr>
        <w:t> ;</w:t>
      </w:r>
      <w:r w:rsidR="00B31967" w:rsidRPr="007375ED">
        <w:rPr>
          <w:rFonts w:eastAsiaTheme="minorHAnsi"/>
          <w:color w:val="000000" w:themeColor="text1"/>
        </w:rPr>
        <w:t xml:space="preserve"> tous les acteurs devraient pouvoir y opérer librement. </w:t>
      </w:r>
      <w:r w:rsidR="00926036">
        <w:rPr>
          <w:rFonts w:eastAsiaTheme="minorHAnsi"/>
          <w:color w:val="000000" w:themeColor="text1"/>
        </w:rPr>
        <w:t>Il a regretté que l</w:t>
      </w:r>
      <w:r w:rsidR="00B31967" w:rsidRPr="007375ED">
        <w:rPr>
          <w:rFonts w:eastAsiaTheme="minorHAnsi"/>
          <w:color w:val="000000" w:themeColor="text1"/>
        </w:rPr>
        <w:t>es divergences réglementaires réduisent les économies d'échelle pour les banques transfrontalières</w:t>
      </w:r>
      <w:r w:rsidR="00BF138D">
        <w:rPr>
          <w:rFonts w:eastAsiaTheme="minorHAnsi"/>
          <w:color w:val="000000" w:themeColor="text1"/>
        </w:rPr>
        <w:t>, affirmé qu’en</w:t>
      </w:r>
      <w:r w:rsidR="00B31967" w:rsidRPr="007375ED">
        <w:rPr>
          <w:rFonts w:eastAsiaTheme="minorHAnsi"/>
          <w:color w:val="000000" w:themeColor="text1"/>
        </w:rPr>
        <w:t xml:space="preserve"> Europe, comme aux États-Unis d’Amérique, au Royaume-Uni et au Japon, le Fonds de résolution bancaire devrait être soutenu par une autorité fiscale fédérale. </w:t>
      </w:r>
      <w:r w:rsidR="00BF138D">
        <w:rPr>
          <w:rFonts w:eastAsiaTheme="minorHAnsi"/>
          <w:color w:val="000000" w:themeColor="text1"/>
        </w:rPr>
        <w:t>Il a rappelé que l</w:t>
      </w:r>
      <w:r w:rsidR="00B31967" w:rsidRPr="007375ED">
        <w:rPr>
          <w:rFonts w:eastAsiaTheme="minorHAnsi"/>
          <w:color w:val="000000" w:themeColor="text1"/>
        </w:rPr>
        <w:t>e partage public des risques par le biais de mesures de sauvegarde contribue à réduire les risques dans l'ensemble du système, en limitant les paniques sur les marchés en cas de crise</w:t>
      </w:r>
      <w:r w:rsidR="00BF138D">
        <w:rPr>
          <w:rFonts w:eastAsiaTheme="minorHAnsi"/>
          <w:color w:val="000000" w:themeColor="text1"/>
        </w:rPr>
        <w:t xml:space="preserve"> et qu’u</w:t>
      </w:r>
      <w:r w:rsidR="00B31967" w:rsidRPr="007375ED">
        <w:rPr>
          <w:rFonts w:eastAsiaTheme="minorHAnsi"/>
          <w:color w:val="000000" w:themeColor="text1"/>
        </w:rPr>
        <w:t xml:space="preserve">n cadre de résolution solide garantit que, lorsque des faillites bancaires se produisent, le partage public des risques est très peu nécessaire, car les coûts sont essentiellement supportés par le secteur privé. </w:t>
      </w:r>
      <w:r w:rsidR="00BF138D">
        <w:rPr>
          <w:rFonts w:eastAsiaTheme="minorHAnsi"/>
          <w:color w:val="000000" w:themeColor="text1"/>
        </w:rPr>
        <w:t>Il a estimé qu’u</w:t>
      </w:r>
      <w:r w:rsidR="00B31967" w:rsidRPr="007375ED">
        <w:rPr>
          <w:rFonts w:eastAsiaTheme="minorHAnsi"/>
          <w:color w:val="000000" w:themeColor="text1"/>
        </w:rPr>
        <w:t>ne stabilisation commune, tant au niveau national qu'au niveau de la zone €, est nécessaire pour renforcer la convergence économique et la confiance des investisseurs transfrontaliers.</w:t>
      </w:r>
    </w:p>
    <w:p w14:paraId="1D2CB811" w14:textId="077217C0" w:rsidR="00B31967" w:rsidRPr="007375ED" w:rsidRDefault="00BF138D" w:rsidP="007375ED">
      <w:pPr>
        <w:autoSpaceDE w:val="0"/>
        <w:autoSpaceDN w:val="0"/>
        <w:adjustRightInd w:val="0"/>
        <w:spacing w:after="120"/>
        <w:jc w:val="both"/>
        <w:rPr>
          <w:rFonts w:eastAsiaTheme="minorHAnsi"/>
          <w:color w:val="000000" w:themeColor="text1"/>
        </w:rPr>
      </w:pPr>
      <w:r>
        <w:rPr>
          <w:rFonts w:eastAsiaTheme="minorHAnsi"/>
          <w:color w:val="000000" w:themeColor="text1"/>
        </w:rPr>
        <w:t xml:space="preserve">Il a jugé que </w:t>
      </w:r>
      <w:r w:rsidR="00B31967" w:rsidRPr="007375ED">
        <w:rPr>
          <w:rFonts w:eastAsiaTheme="minorHAnsi"/>
          <w:color w:val="000000" w:themeColor="text1"/>
        </w:rPr>
        <w:t>le mécanisme de transfert monétaire de la BCE devrait être complété par un budget fédéral européen suffisant pour maintenir la convergence en cas de chocs importants, sans avoir à surcharger la politique monétaire</w:t>
      </w:r>
      <w:r>
        <w:rPr>
          <w:rFonts w:eastAsiaTheme="minorHAnsi"/>
          <w:color w:val="000000" w:themeColor="text1"/>
        </w:rPr>
        <w:t> ; que l</w:t>
      </w:r>
      <w:r w:rsidR="00B31967" w:rsidRPr="007375ED">
        <w:rPr>
          <w:rFonts w:eastAsiaTheme="minorHAnsi"/>
          <w:color w:val="000000" w:themeColor="text1"/>
        </w:rPr>
        <w:t xml:space="preserve">a fourniture de biens publics supranationaux, comme la sécurité, </w:t>
      </w:r>
      <w:r w:rsidR="00B31967" w:rsidRPr="00BF138D">
        <w:rPr>
          <w:rFonts w:eastAsiaTheme="minorHAnsi"/>
          <w:color w:val="000000" w:themeColor="text1"/>
        </w:rPr>
        <w:t xml:space="preserve">la défense </w:t>
      </w:r>
      <w:r w:rsidR="00B31967" w:rsidRPr="007375ED">
        <w:rPr>
          <w:rFonts w:eastAsiaTheme="minorHAnsi"/>
          <w:color w:val="000000" w:themeColor="text1"/>
        </w:rPr>
        <w:t>ou la migration, devrait être financée par une fiscalité européenne</w:t>
      </w:r>
      <w:r>
        <w:rPr>
          <w:rFonts w:eastAsiaTheme="minorHAnsi"/>
          <w:color w:val="000000" w:themeColor="text1"/>
        </w:rPr>
        <w:t> ; qu’u</w:t>
      </w:r>
      <w:r w:rsidR="00B31967" w:rsidRPr="007375ED">
        <w:rPr>
          <w:color w:val="000000" w:themeColor="text1"/>
        </w:rPr>
        <w:t xml:space="preserve">n État fédéral européen pourrait tout d’abord instaurer une solidarité interétatique et interrégionale, via son budget, pourvu que celui-ci soit substantiel. </w:t>
      </w:r>
      <w:r>
        <w:rPr>
          <w:color w:val="000000" w:themeColor="text1"/>
        </w:rPr>
        <w:t>Il a rappelé qu’a</w:t>
      </w:r>
      <w:r w:rsidR="00B31967" w:rsidRPr="007375ED">
        <w:rPr>
          <w:rFonts w:eastAsiaTheme="minorHAnsi"/>
          <w:color w:val="000000" w:themeColor="text1"/>
        </w:rPr>
        <w:t>ux États-Unis d’Amérique, les transferts financés par le budget fédéral absorbent environ 10 % des chocs économiques</w:t>
      </w:r>
      <w:r>
        <w:rPr>
          <w:rFonts w:eastAsiaTheme="minorHAnsi"/>
          <w:color w:val="000000" w:themeColor="text1"/>
        </w:rPr>
        <w:t>, alors que d</w:t>
      </w:r>
      <w:r w:rsidR="00B31967" w:rsidRPr="007375ED">
        <w:rPr>
          <w:rFonts w:eastAsiaTheme="minorHAnsi"/>
          <w:color w:val="000000" w:themeColor="text1"/>
        </w:rPr>
        <w:t>ans la zone €, ce sont les budgets nationaux qui contribuent à la stabilisation à court terme.</w:t>
      </w:r>
    </w:p>
    <w:p w14:paraId="579E1BD9" w14:textId="17CC7E27" w:rsidR="00B31967" w:rsidRPr="007375ED" w:rsidRDefault="00BF138D" w:rsidP="007375ED">
      <w:pPr>
        <w:autoSpaceDE w:val="0"/>
        <w:autoSpaceDN w:val="0"/>
        <w:adjustRightInd w:val="0"/>
        <w:spacing w:after="120"/>
        <w:jc w:val="both"/>
        <w:rPr>
          <w:rFonts w:eastAsiaTheme="minorHAnsi"/>
          <w:color w:val="000000" w:themeColor="text1"/>
        </w:rPr>
      </w:pPr>
      <w:r>
        <w:rPr>
          <w:rFonts w:eastAsiaTheme="minorHAnsi"/>
          <w:color w:val="000000" w:themeColor="text1"/>
        </w:rPr>
        <w:t xml:space="preserve">Il a affirmé que </w:t>
      </w:r>
      <w:r w:rsidR="00B31967" w:rsidRPr="007375ED">
        <w:rPr>
          <w:rFonts w:eastAsiaTheme="minorHAnsi"/>
          <w:color w:val="000000" w:themeColor="text1"/>
        </w:rPr>
        <w:t>s</w:t>
      </w:r>
      <w:r w:rsidR="00B31967" w:rsidRPr="007375ED">
        <w:rPr>
          <w:color w:val="000000" w:themeColor="text1"/>
        </w:rPr>
        <w:t>eul un État fédéral européen pourrait définir une politique fiscale commune et mie</w:t>
      </w:r>
      <w:r w:rsidR="00B31967" w:rsidRPr="007375ED">
        <w:rPr>
          <w:rFonts w:eastAsiaTheme="minorHAnsi"/>
          <w:color w:val="000000" w:themeColor="text1"/>
        </w:rPr>
        <w:t xml:space="preserve">ux intégrer le marché financier, ce qui dissocierait la consommation et le revenu au niveau local. </w:t>
      </w:r>
      <w:r>
        <w:rPr>
          <w:rFonts w:eastAsiaTheme="minorHAnsi"/>
          <w:color w:val="000000" w:themeColor="text1"/>
        </w:rPr>
        <w:t>En effet, s</w:t>
      </w:r>
      <w:r w:rsidR="00B31967" w:rsidRPr="007375ED">
        <w:rPr>
          <w:rFonts w:eastAsiaTheme="minorHAnsi"/>
          <w:color w:val="000000" w:themeColor="text1"/>
        </w:rPr>
        <w:t xml:space="preserve">i le revenu diminue pendant une récession, mais que le secteur privé détient un portefeuille financier diversifié, les gens peuvent lisser leur consommation avec les rendements financiers qu'ils perçoivent dans les parties plus performantes de l'union monétaire. Aux États-Unis d’Amérique, l'atténuation des chocs économiques locaux est assurée à 45% par le marché intégré des capitaux, et à 25 % par le marché du crédit, grâce à la multiplication par 7 du nombre de banques multiétatiques au cours des dernières décennies. L'approfondissement du partage des risques privés dans la zone €, tant au niveau national qu'au niveau de l'Union économique et monétaire, par l’intégration du marché des capitaux et du marché du crédit, profiterait à notre stabilité macroéconomique. </w:t>
      </w:r>
      <w:r w:rsidR="00B31967" w:rsidRPr="007375ED">
        <w:rPr>
          <w:color w:val="000000" w:themeColor="text1"/>
        </w:rPr>
        <w:t>L</w:t>
      </w:r>
      <w:r w:rsidR="00B31967" w:rsidRPr="007375ED">
        <w:rPr>
          <w:rFonts w:eastAsiaTheme="minorHAnsi"/>
          <w:color w:val="000000" w:themeColor="text1"/>
        </w:rPr>
        <w:t>es banques multiétatiques ne sont pas, comme les banques locales, incitées à réduire les prêts aux emprunteurs sains en cas de ralentissement régional de l'activité, car elles compensent les pertes dans une région par les gains réalisés ailleurs.</w:t>
      </w:r>
      <w:r w:rsidR="00B31967" w:rsidRPr="007375ED">
        <w:rPr>
          <w:rStyle w:val="Appelnotedebasdep"/>
          <w:rFonts w:eastAsiaTheme="minorHAnsi"/>
          <w:color w:val="000000" w:themeColor="text1"/>
        </w:rPr>
        <w:footnoteReference w:id="5"/>
      </w:r>
    </w:p>
    <w:p w14:paraId="0C741652" w14:textId="44711F97" w:rsidR="00B27FDD" w:rsidRPr="00041526" w:rsidRDefault="00B27FDD" w:rsidP="00B27FDD">
      <w:pPr>
        <w:autoSpaceDE w:val="0"/>
        <w:autoSpaceDN w:val="0"/>
        <w:adjustRightInd w:val="0"/>
        <w:spacing w:after="120"/>
        <w:jc w:val="both"/>
        <w:rPr>
          <w:rFonts w:eastAsiaTheme="minorHAnsi"/>
          <w:b/>
          <w:bCs/>
          <w:color w:val="000000" w:themeColor="text1"/>
        </w:rPr>
      </w:pPr>
      <w:r>
        <w:rPr>
          <w:rFonts w:eastAsiaTheme="minorHAnsi"/>
          <w:b/>
          <w:bCs/>
          <w:color w:val="000000" w:themeColor="text1"/>
        </w:rPr>
        <w:t>… mais il ne l’a jamais mis en œuvre</w:t>
      </w:r>
    </w:p>
    <w:p w14:paraId="4119BE7E" w14:textId="5A2CA791" w:rsidR="00881824" w:rsidRPr="00041526" w:rsidRDefault="00041526" w:rsidP="00A75145">
      <w:pPr>
        <w:suppressAutoHyphens w:val="0"/>
        <w:autoSpaceDE w:val="0"/>
        <w:autoSpaceDN w:val="0"/>
        <w:adjustRightInd w:val="0"/>
        <w:snapToGrid w:val="0"/>
        <w:spacing w:after="120"/>
        <w:jc w:val="both"/>
        <w:rPr>
          <w:rFonts w:eastAsiaTheme="minorHAnsi"/>
          <w:color w:val="000000" w:themeColor="text1"/>
          <w:lang w:val="fr-FR" w:eastAsia="en-US"/>
          <w14:ligatures w14:val="standardContextual"/>
        </w:rPr>
      </w:pPr>
      <w:r w:rsidRPr="00041526">
        <w:rPr>
          <w:rFonts w:eastAsiaTheme="minorHAnsi"/>
          <w:color w:val="000000" w:themeColor="text1"/>
          <w:lang w:val="fr-FR" w:eastAsia="en-US"/>
          <w14:ligatures w14:val="standardContextual"/>
        </w:rPr>
        <w:t xml:space="preserve">M. Draghi a été </w:t>
      </w:r>
      <w:r w:rsidRPr="00041526">
        <w:rPr>
          <w:rFonts w:eastAsiaTheme="majorEastAsia"/>
        </w:rPr>
        <w:t>président du Conseil des ministres d'</w:t>
      </w:r>
      <w:r>
        <w:rPr>
          <w:rFonts w:eastAsiaTheme="majorEastAsia"/>
        </w:rPr>
        <w:t>Italie</w:t>
      </w:r>
      <w:r>
        <w:rPr>
          <w:rStyle w:val="apple-converted-space"/>
          <w:rFonts w:eastAsiaTheme="majorEastAsia"/>
          <w:color w:val="202122"/>
          <w:shd w:val="clear" w:color="auto" w:fill="FFFFFF"/>
        </w:rPr>
        <w:t xml:space="preserve"> </w:t>
      </w:r>
      <w:r w:rsidRPr="00041526">
        <w:rPr>
          <w:color w:val="202122"/>
          <w:shd w:val="clear" w:color="auto" w:fill="FFFFFF"/>
        </w:rPr>
        <w:t>du</w:t>
      </w:r>
      <w:r>
        <w:rPr>
          <w:color w:val="202122"/>
          <w:shd w:val="clear" w:color="auto" w:fill="FFFFFF"/>
        </w:rPr>
        <w:t xml:space="preserve"> </w:t>
      </w:r>
      <w:r w:rsidRPr="00041526">
        <w:t>13 février 2021</w:t>
      </w:r>
      <w:r>
        <w:t xml:space="preserve"> </w:t>
      </w:r>
      <w:r w:rsidRPr="00041526">
        <w:rPr>
          <w:color w:val="202122"/>
          <w:shd w:val="clear" w:color="auto" w:fill="FFFFFF"/>
        </w:rPr>
        <w:t>au</w:t>
      </w:r>
      <w:r>
        <w:rPr>
          <w:rStyle w:val="apple-converted-space"/>
          <w:rFonts w:eastAsiaTheme="majorEastAsia"/>
          <w:color w:val="202122"/>
          <w:shd w:val="clear" w:color="auto" w:fill="FFFFFF"/>
        </w:rPr>
        <w:t xml:space="preserve"> </w:t>
      </w:r>
      <w:r w:rsidRPr="00041526">
        <w:t>22 octobre 2022</w:t>
      </w:r>
      <w:r w:rsidRPr="00041526">
        <w:rPr>
          <w:color w:val="202122"/>
          <w:shd w:val="clear" w:color="auto" w:fill="FFFFFF"/>
        </w:rPr>
        <w:t>.</w:t>
      </w:r>
      <w:r w:rsidRPr="00041526">
        <w:rPr>
          <w:rFonts w:eastAsiaTheme="minorHAnsi"/>
          <w:color w:val="000000" w:themeColor="text1"/>
          <w:lang w:val="fr-FR" w:eastAsia="en-US"/>
          <w14:ligatures w14:val="standardContextual"/>
        </w:rPr>
        <w:t xml:space="preserve"> </w:t>
      </w:r>
      <w:r w:rsidR="002850A7" w:rsidRPr="00041526">
        <w:rPr>
          <w:rFonts w:eastAsiaTheme="minorHAnsi"/>
          <w:color w:val="000000" w:themeColor="text1"/>
          <w:lang w:val="fr-FR" w:eastAsia="en-US"/>
          <w14:ligatures w14:val="standardContextual"/>
        </w:rPr>
        <w:t xml:space="preserve">Pourquoi </w:t>
      </w:r>
      <w:r w:rsidR="00A36ACE" w:rsidRPr="00041526">
        <w:rPr>
          <w:rFonts w:eastAsiaTheme="minorHAnsi"/>
          <w:color w:val="000000" w:themeColor="text1"/>
          <w:lang w:val="fr-FR" w:eastAsia="en-US"/>
          <w14:ligatures w14:val="standardContextual"/>
        </w:rPr>
        <w:t>n’</w:t>
      </w:r>
      <w:r w:rsidRPr="00041526">
        <w:rPr>
          <w:rFonts w:eastAsiaTheme="minorHAnsi"/>
          <w:color w:val="000000" w:themeColor="text1"/>
          <w:lang w:val="fr-FR" w:eastAsia="en-US"/>
          <w14:ligatures w14:val="standardContextual"/>
        </w:rPr>
        <w:t>a-t-</w:t>
      </w:r>
      <w:r w:rsidR="00A36ACE" w:rsidRPr="00041526">
        <w:rPr>
          <w:rFonts w:eastAsiaTheme="minorHAnsi"/>
          <w:color w:val="000000" w:themeColor="text1"/>
          <w:lang w:val="fr-FR" w:eastAsia="en-US"/>
          <w14:ligatures w14:val="standardContextual"/>
        </w:rPr>
        <w:t xml:space="preserve">il </w:t>
      </w:r>
      <w:r w:rsidR="002850A7" w:rsidRPr="00041526">
        <w:rPr>
          <w:rFonts w:eastAsiaTheme="minorHAnsi"/>
          <w:color w:val="000000" w:themeColor="text1"/>
          <w:lang w:val="fr-FR" w:eastAsia="en-US"/>
          <w14:ligatures w14:val="standardContextual"/>
        </w:rPr>
        <w:t>p</w:t>
      </w:r>
      <w:r w:rsidR="00A36ACE" w:rsidRPr="00041526">
        <w:rPr>
          <w:rFonts w:eastAsiaTheme="minorHAnsi"/>
          <w:color w:val="000000" w:themeColor="text1"/>
          <w:lang w:val="fr-FR" w:eastAsia="en-US"/>
          <w14:ligatures w14:val="standardContextual"/>
        </w:rPr>
        <w:t>a</w:t>
      </w:r>
      <w:r w:rsidR="002850A7" w:rsidRPr="00041526">
        <w:rPr>
          <w:rFonts w:eastAsiaTheme="minorHAnsi"/>
          <w:color w:val="000000" w:themeColor="text1"/>
          <w:lang w:val="fr-FR" w:eastAsia="en-US"/>
          <w14:ligatures w14:val="standardContextual"/>
        </w:rPr>
        <w:t>s</w:t>
      </w:r>
      <w:r w:rsidR="00A36ACE" w:rsidRPr="00041526">
        <w:rPr>
          <w:rFonts w:eastAsiaTheme="minorHAnsi"/>
          <w:color w:val="000000" w:themeColor="text1"/>
          <w:lang w:val="fr-FR" w:eastAsia="en-US"/>
          <w14:ligatures w14:val="standardContextual"/>
        </w:rPr>
        <w:t xml:space="preserve"> mi</w:t>
      </w:r>
      <w:r w:rsidRPr="00041526">
        <w:rPr>
          <w:rFonts w:eastAsiaTheme="minorHAnsi"/>
          <w:color w:val="000000" w:themeColor="text1"/>
          <w:lang w:val="fr-FR" w:eastAsia="en-US"/>
          <w14:ligatures w14:val="standardContextual"/>
        </w:rPr>
        <w:t xml:space="preserve">s en œuvre </w:t>
      </w:r>
      <w:r w:rsidR="0003585F">
        <w:rPr>
          <w:rFonts w:eastAsiaTheme="minorHAnsi"/>
          <w:color w:val="000000" w:themeColor="text1"/>
          <w:lang w:val="fr-FR" w:eastAsia="en-US"/>
          <w14:ligatures w14:val="standardContextual"/>
        </w:rPr>
        <w:t>son</w:t>
      </w:r>
      <w:r w:rsidRPr="00041526">
        <w:rPr>
          <w:rFonts w:eastAsiaTheme="minorHAnsi"/>
          <w:color w:val="000000" w:themeColor="text1"/>
          <w:lang w:val="fr-FR" w:eastAsia="en-US"/>
          <w14:ligatures w14:val="standardContextual"/>
        </w:rPr>
        <w:t xml:space="preserve"> programme</w:t>
      </w:r>
      <w:r w:rsidR="0003585F">
        <w:rPr>
          <w:rFonts w:eastAsiaTheme="minorHAnsi"/>
          <w:color w:val="000000" w:themeColor="text1"/>
          <w:lang w:val="fr-FR" w:eastAsia="en-US"/>
          <w14:ligatures w14:val="standardContextual"/>
        </w:rPr>
        <w:t xml:space="preserve"> de 2018</w:t>
      </w:r>
      <w:r w:rsidR="002850A7" w:rsidRPr="00041526">
        <w:rPr>
          <w:rFonts w:eastAsiaTheme="minorHAnsi"/>
          <w:color w:val="000000" w:themeColor="text1"/>
          <w:lang w:val="fr-FR" w:eastAsia="en-US"/>
          <w14:ligatures w14:val="standardContextual"/>
        </w:rPr>
        <w:t> ?</w:t>
      </w:r>
      <w:r w:rsidR="0003585F">
        <w:rPr>
          <w:rFonts w:eastAsiaTheme="minorHAnsi"/>
          <w:color w:val="000000" w:themeColor="text1"/>
          <w:lang w:val="fr-FR" w:eastAsia="en-US"/>
          <w14:ligatures w14:val="standardContextual"/>
        </w:rPr>
        <w:t xml:space="preserve"> Sans doute parce qu’il a rapidement perdu le soutien de quelques-uns des partis qui le soutenaient</w:t>
      </w:r>
      <w:r w:rsidR="00B27FDD">
        <w:rPr>
          <w:rFonts w:eastAsiaTheme="minorHAnsi"/>
          <w:color w:val="000000" w:themeColor="text1"/>
          <w:lang w:val="fr-FR" w:eastAsia="en-US"/>
          <w14:ligatures w14:val="standardContextual"/>
        </w:rPr>
        <w:t>,</w:t>
      </w:r>
      <w:r w:rsidR="0003585F">
        <w:rPr>
          <w:rFonts w:eastAsiaTheme="minorHAnsi"/>
          <w:color w:val="000000" w:themeColor="text1"/>
          <w:lang w:val="fr-FR" w:eastAsia="en-US"/>
          <w14:ligatures w14:val="standardContextual"/>
        </w:rPr>
        <w:t xml:space="preserve"> </w:t>
      </w:r>
      <w:r w:rsidR="00B27FDD">
        <w:rPr>
          <w:rFonts w:eastAsiaTheme="minorHAnsi"/>
          <w:color w:val="000000" w:themeColor="text1"/>
          <w:lang w:val="fr-FR" w:eastAsia="en-US"/>
          <w14:ligatures w14:val="standardContextual"/>
        </w:rPr>
        <w:t>c</w:t>
      </w:r>
      <w:r w:rsidR="0003585F">
        <w:rPr>
          <w:rFonts w:eastAsiaTheme="minorHAnsi"/>
          <w:color w:val="000000" w:themeColor="text1"/>
          <w:lang w:val="fr-FR" w:eastAsia="en-US"/>
          <w14:ligatures w14:val="standardContextual"/>
        </w:rPr>
        <w:t>e</w:t>
      </w:r>
      <w:r w:rsidR="00B27FDD">
        <w:rPr>
          <w:rFonts w:eastAsiaTheme="minorHAnsi"/>
          <w:color w:val="000000" w:themeColor="text1"/>
          <w:lang w:val="fr-FR" w:eastAsia="en-US"/>
          <w14:ligatures w14:val="standardContextual"/>
        </w:rPr>
        <w:t xml:space="preserve"> qui l’a contraint à démissionner</w:t>
      </w:r>
      <w:r w:rsidR="0003585F">
        <w:rPr>
          <w:rFonts w:eastAsiaTheme="minorHAnsi"/>
          <w:color w:val="000000" w:themeColor="text1"/>
          <w:lang w:val="fr-FR" w:eastAsia="en-US"/>
          <w14:ligatures w14:val="standardContextual"/>
        </w:rPr>
        <w:t xml:space="preserve">. Depuis lors, il a édulcoré son propos, </w:t>
      </w:r>
      <w:r w:rsidR="00B27FDD">
        <w:rPr>
          <w:rFonts w:eastAsiaTheme="minorHAnsi"/>
          <w:color w:val="000000" w:themeColor="text1"/>
          <w:lang w:val="fr-FR" w:eastAsia="en-US"/>
          <w14:ligatures w14:val="standardContextual"/>
        </w:rPr>
        <w:t>mais</w:t>
      </w:r>
      <w:r w:rsidR="0003585F">
        <w:rPr>
          <w:rFonts w:eastAsiaTheme="minorHAnsi"/>
          <w:color w:val="000000" w:themeColor="text1"/>
          <w:lang w:val="fr-FR" w:eastAsia="en-US"/>
          <w14:ligatures w14:val="standardContextual"/>
        </w:rPr>
        <w:t xml:space="preserve"> il peine néanmoins à être soutenu par le Conseil européen.</w:t>
      </w:r>
    </w:p>
    <w:p w14:paraId="36CC7C6D" w14:textId="22FE3C1B" w:rsidR="00AD4FC9" w:rsidRPr="00A75145" w:rsidRDefault="0003585F" w:rsidP="00A75145">
      <w:pPr>
        <w:pStyle w:val="NormalWeb"/>
        <w:shd w:val="clear" w:color="auto" w:fill="FFFFFF"/>
        <w:spacing w:beforeAutospacing="0" w:after="120" w:afterAutospacing="0"/>
        <w:jc w:val="both"/>
        <w:rPr>
          <w:rFonts w:eastAsiaTheme="minorHAnsi"/>
          <w:color w:val="000000" w:themeColor="text1"/>
          <w:lang w:val="fr-FR" w:eastAsia="en-US"/>
          <w14:ligatures w14:val="standardContextual"/>
        </w:rPr>
      </w:pPr>
      <w:r>
        <w:rPr>
          <w:rFonts w:eastAsiaTheme="minorHAnsi"/>
          <w:color w:val="000000" w:themeColor="text1"/>
          <w:lang w:val="fr-FR" w:eastAsia="en-US"/>
          <w14:ligatures w14:val="standardContextual"/>
        </w:rPr>
        <w:t>Da</w:t>
      </w:r>
      <w:r w:rsidR="00AD4FC9" w:rsidRPr="00A75145">
        <w:rPr>
          <w:rFonts w:eastAsiaTheme="minorHAnsi"/>
          <w:color w:val="000000" w:themeColor="text1"/>
          <w:lang w:val="fr-FR" w:eastAsia="en-US"/>
          <w14:ligatures w14:val="standardContextual"/>
        </w:rPr>
        <w:t xml:space="preserve">ns son rapport de 2024 </w:t>
      </w:r>
      <w:r w:rsidR="00AD4FC9" w:rsidRPr="00A75145">
        <w:rPr>
          <w:color w:val="000000" w:themeColor="text1"/>
          <w:lang w:val="fr-FR"/>
        </w:rPr>
        <w:t xml:space="preserve">sur l'avenir de la compétitivité de l'UE, </w:t>
      </w:r>
      <w:r w:rsidRPr="00A75145">
        <w:rPr>
          <w:rFonts w:eastAsiaTheme="minorHAnsi"/>
          <w:color w:val="000000" w:themeColor="text1"/>
          <w:lang w:val="fr-FR" w:eastAsia="en-US"/>
          <w14:ligatures w14:val="standardContextual"/>
        </w:rPr>
        <w:t>M. Dragh</w:t>
      </w:r>
      <w:r w:rsidR="00CC46F0">
        <w:rPr>
          <w:rFonts w:eastAsiaTheme="minorHAnsi"/>
          <w:color w:val="000000" w:themeColor="text1"/>
          <w:lang w:val="fr-FR" w:eastAsia="en-US"/>
          <w14:ligatures w14:val="standardContextual"/>
        </w:rPr>
        <w:t>i</w:t>
      </w:r>
      <w:r>
        <w:rPr>
          <w:rFonts w:eastAsiaTheme="minorHAnsi"/>
          <w:color w:val="000000" w:themeColor="text1"/>
          <w:lang w:val="fr-FR" w:eastAsia="en-US"/>
          <w14:ligatures w14:val="standardContextual"/>
        </w:rPr>
        <w:t xml:space="preserve"> </w:t>
      </w:r>
      <w:r w:rsidR="00D17C30" w:rsidRPr="00A75145">
        <w:rPr>
          <w:rFonts w:eastAsiaTheme="minorHAnsi"/>
          <w:color w:val="000000" w:themeColor="text1"/>
          <w:lang w:val="fr-FR" w:eastAsia="en-US"/>
          <w14:ligatures w14:val="standardContextual"/>
        </w:rPr>
        <w:t>a</w:t>
      </w:r>
      <w:r w:rsidR="00AE45A2" w:rsidRPr="00A75145">
        <w:rPr>
          <w:rFonts w:eastAsiaTheme="minorHAnsi"/>
          <w:color w:val="000000" w:themeColor="text1"/>
          <w:lang w:val="fr-FR" w:eastAsia="en-US"/>
          <w14:ligatures w14:val="standardContextual"/>
        </w:rPr>
        <w:t xml:space="preserve"> </w:t>
      </w:r>
      <w:r w:rsidR="00D17C30" w:rsidRPr="00A75145">
        <w:rPr>
          <w:rFonts w:eastAsiaTheme="minorHAnsi"/>
          <w:color w:val="000000" w:themeColor="text1"/>
          <w:lang w:val="fr-FR" w:eastAsia="en-US"/>
          <w14:ligatures w14:val="standardContextual"/>
        </w:rPr>
        <w:t>proposé</w:t>
      </w:r>
      <w:r w:rsidR="00AE45A2" w:rsidRPr="00A75145">
        <w:rPr>
          <w:rFonts w:eastAsiaTheme="minorHAnsi"/>
          <w:color w:val="000000" w:themeColor="text1"/>
          <w:lang w:val="fr-FR" w:eastAsia="en-US"/>
          <w14:ligatures w14:val="standardContextual"/>
        </w:rPr>
        <w:t xml:space="preserve"> </w:t>
      </w:r>
      <w:r w:rsidR="00A75145" w:rsidRPr="00A75145">
        <w:rPr>
          <w:rFonts w:eastAsiaTheme="minorHAnsi"/>
          <w:color w:val="000000" w:themeColor="text1"/>
          <w:lang w:val="fr-FR" w:eastAsia="en-US"/>
          <w14:ligatures w14:val="standardContextual"/>
        </w:rPr>
        <w:t xml:space="preserve">560 </w:t>
      </w:r>
      <w:r w:rsidR="002C4FF9" w:rsidRPr="00A75145">
        <w:rPr>
          <w:rFonts w:eastAsiaTheme="minorHAnsi"/>
          <w:color w:val="000000" w:themeColor="text1"/>
          <w:lang w:val="fr-FR" w:eastAsia="en-US"/>
          <w14:ligatures w14:val="standardContextual"/>
        </w:rPr>
        <w:t xml:space="preserve">mesures pour aider l’UE à </w:t>
      </w:r>
      <w:r w:rsidR="00CC46F0">
        <w:rPr>
          <w:rFonts w:eastAsiaTheme="minorHAnsi"/>
          <w:color w:val="000000" w:themeColor="text1"/>
          <w:lang w:val="fr-FR" w:eastAsia="en-US"/>
          <w14:ligatures w14:val="standardContextual"/>
        </w:rPr>
        <w:t xml:space="preserve">mettre fin à </w:t>
      </w:r>
      <w:r w:rsidR="00CC46F0" w:rsidRPr="00A75145">
        <w:rPr>
          <w:color w:val="000000" w:themeColor="text1"/>
          <w:lang w:val="fr-FR"/>
        </w:rPr>
        <w:t xml:space="preserve">notre décrochage économique </w:t>
      </w:r>
      <w:r w:rsidR="00CC46F0">
        <w:rPr>
          <w:color w:val="000000" w:themeColor="text1"/>
          <w:lang w:val="fr-FR"/>
        </w:rPr>
        <w:t xml:space="preserve">et scientifique </w:t>
      </w:r>
      <w:r w:rsidR="00CC46F0" w:rsidRPr="00A75145">
        <w:rPr>
          <w:color w:val="000000" w:themeColor="text1"/>
          <w:lang w:val="fr-FR"/>
        </w:rPr>
        <w:t>par rapport aux États-Unis d’Amérique et à la Chin</w:t>
      </w:r>
      <w:r w:rsidR="00CC46F0">
        <w:rPr>
          <w:color w:val="000000" w:themeColor="text1"/>
          <w:lang w:val="fr-FR"/>
        </w:rPr>
        <w:t>e</w:t>
      </w:r>
      <w:r w:rsidR="00CC46F0">
        <w:rPr>
          <w:rFonts w:eastAsiaTheme="minorHAnsi"/>
          <w:color w:val="000000" w:themeColor="text1"/>
          <w:lang w:val="fr-FR" w:eastAsia="en-US"/>
          <w14:ligatures w14:val="standardContextual"/>
        </w:rPr>
        <w:t>.</w:t>
      </w:r>
      <w:r w:rsidR="00F46FF5">
        <w:rPr>
          <w:rFonts w:eastAsiaTheme="minorHAnsi"/>
          <w:color w:val="000000" w:themeColor="text1"/>
          <w:lang w:val="fr-FR" w:eastAsia="en-US"/>
          <w14:ligatures w14:val="standardContextual"/>
        </w:rPr>
        <w:t xml:space="preserve"> </w:t>
      </w:r>
      <w:r w:rsidR="00A75145" w:rsidRPr="00A75145">
        <w:rPr>
          <w:rFonts w:eastAsiaTheme="minorHAnsi"/>
          <w:color w:val="000000" w:themeColor="text1"/>
          <w:lang w:val="fr-FR" w:eastAsia="en-US"/>
          <w14:ligatures w14:val="standardContextual"/>
        </w:rPr>
        <w:t>3</w:t>
      </w:r>
      <w:r w:rsidR="002850A7" w:rsidRPr="00A75145">
        <w:rPr>
          <w:rFonts w:eastAsiaTheme="minorHAnsi"/>
          <w:color w:val="000000" w:themeColor="text1"/>
          <w:lang w:val="fr-FR" w:eastAsia="en-US"/>
          <w14:ligatures w14:val="standardContextual"/>
        </w:rPr>
        <w:t>0% seulement de ses recommandations ont été suivies d’effet</w:t>
      </w:r>
      <w:r w:rsidR="00A36ACE">
        <w:rPr>
          <w:rFonts w:eastAsiaTheme="minorHAnsi"/>
          <w:color w:val="000000" w:themeColor="text1"/>
          <w:lang w:val="fr-FR" w:eastAsia="en-US"/>
          <w14:ligatures w14:val="standardContextual"/>
        </w:rPr>
        <w:t xml:space="preserve">, exclusivement dans les domaines </w:t>
      </w:r>
      <w:r w:rsidR="00A36ACE" w:rsidRPr="00A75145">
        <w:rPr>
          <w:color w:val="000000" w:themeColor="text1"/>
          <w:lang w:val="fr-FR"/>
        </w:rPr>
        <w:t xml:space="preserve">économique </w:t>
      </w:r>
      <w:r w:rsidR="00A36ACE">
        <w:rPr>
          <w:color w:val="000000" w:themeColor="text1"/>
          <w:lang w:val="fr-FR"/>
        </w:rPr>
        <w:t>et scientifique</w:t>
      </w:r>
      <w:r w:rsidR="002850A7" w:rsidRPr="00A75145">
        <w:rPr>
          <w:rFonts w:eastAsiaTheme="minorHAnsi"/>
          <w:color w:val="000000" w:themeColor="text1"/>
          <w:lang w:val="fr-FR" w:eastAsia="en-US"/>
          <w14:ligatures w14:val="standardContextual"/>
        </w:rPr>
        <w:t xml:space="preserve">. </w:t>
      </w:r>
      <w:r w:rsidR="00CC46F0">
        <w:rPr>
          <w:rFonts w:eastAsiaTheme="minorHAnsi"/>
          <w:color w:val="000000" w:themeColor="text1"/>
          <w:lang w:val="fr-FR" w:eastAsia="en-US"/>
          <w14:ligatures w14:val="standardContextual"/>
        </w:rPr>
        <w:t>Certains espèrent que l</w:t>
      </w:r>
      <w:r w:rsidR="00A75145" w:rsidRPr="00A75145">
        <w:rPr>
          <w:color w:val="000000" w:themeColor="text1"/>
          <w:lang w:val="fr-FR"/>
        </w:rPr>
        <w:t xml:space="preserve">e droit de la concurrence </w:t>
      </w:r>
      <w:r w:rsidR="00A36ACE">
        <w:rPr>
          <w:color w:val="000000" w:themeColor="text1"/>
          <w:lang w:val="fr-FR"/>
        </w:rPr>
        <w:t xml:space="preserve">pourrait </w:t>
      </w:r>
      <w:r w:rsidR="008C0845" w:rsidRPr="00A75145">
        <w:rPr>
          <w:color w:val="000000" w:themeColor="text1"/>
          <w:lang w:val="fr-FR"/>
        </w:rPr>
        <w:t>év</w:t>
      </w:r>
      <w:r w:rsidR="008C0845">
        <w:rPr>
          <w:color w:val="000000" w:themeColor="text1"/>
          <w:lang w:val="fr-FR"/>
        </w:rPr>
        <w:t>oluer</w:t>
      </w:r>
      <w:r w:rsidR="00A75145" w:rsidRPr="00A75145">
        <w:rPr>
          <w:color w:val="000000" w:themeColor="text1"/>
          <w:lang w:val="fr-FR"/>
        </w:rPr>
        <w:t xml:space="preserve">, </w:t>
      </w:r>
      <w:r w:rsidR="00A36ACE">
        <w:rPr>
          <w:color w:val="000000" w:themeColor="text1"/>
          <w:lang w:val="fr-FR"/>
        </w:rPr>
        <w:t>d</w:t>
      </w:r>
      <w:r w:rsidR="00A75145" w:rsidRPr="00A75145">
        <w:rPr>
          <w:color w:val="000000" w:themeColor="text1"/>
          <w:lang w:val="fr-FR"/>
        </w:rPr>
        <w:t xml:space="preserve">e </w:t>
      </w:r>
      <w:r w:rsidR="00A36ACE">
        <w:rPr>
          <w:color w:val="000000" w:themeColor="text1"/>
          <w:lang w:val="fr-FR"/>
        </w:rPr>
        <w:t>même que le</w:t>
      </w:r>
      <w:r w:rsidR="00A75145" w:rsidRPr="00A75145">
        <w:rPr>
          <w:color w:val="000000" w:themeColor="text1"/>
          <w:lang w:val="fr-FR"/>
        </w:rPr>
        <w:t xml:space="preserve"> </w:t>
      </w:r>
      <w:r w:rsidR="002D4D21" w:rsidRPr="00A75145">
        <w:rPr>
          <w:color w:val="000000" w:themeColor="text1"/>
          <w:lang w:val="fr-FR"/>
        </w:rPr>
        <w:t>marché</w:t>
      </w:r>
      <w:r w:rsidR="00A75145" w:rsidRPr="00A75145">
        <w:rPr>
          <w:color w:val="000000" w:themeColor="text1"/>
          <w:lang w:val="fr-FR"/>
        </w:rPr>
        <w:t>́ de l’</w:t>
      </w:r>
      <w:r w:rsidR="008C0845" w:rsidRPr="00A75145">
        <w:rPr>
          <w:color w:val="000000" w:themeColor="text1"/>
          <w:lang w:val="fr-FR"/>
        </w:rPr>
        <w:t>électricité</w:t>
      </w:r>
      <w:r w:rsidR="00A75145" w:rsidRPr="00A75145">
        <w:rPr>
          <w:color w:val="000000" w:themeColor="text1"/>
          <w:lang w:val="fr-FR"/>
        </w:rPr>
        <w:t>́</w:t>
      </w:r>
      <w:r w:rsidR="00A36ACE">
        <w:rPr>
          <w:color w:val="000000" w:themeColor="text1"/>
          <w:lang w:val="fr-FR"/>
        </w:rPr>
        <w:t xml:space="preserve"> ; </w:t>
      </w:r>
      <w:r w:rsidR="00CC46F0">
        <w:rPr>
          <w:color w:val="000000" w:themeColor="text1"/>
          <w:lang w:val="fr-FR"/>
        </w:rPr>
        <w:t xml:space="preserve">que </w:t>
      </w:r>
      <w:r w:rsidR="00A36ACE">
        <w:rPr>
          <w:color w:val="000000" w:themeColor="text1"/>
          <w:lang w:val="fr-FR"/>
        </w:rPr>
        <w:t>la</w:t>
      </w:r>
      <w:r w:rsidR="00A75145" w:rsidRPr="00A75145">
        <w:rPr>
          <w:color w:val="000000" w:themeColor="text1"/>
          <w:lang w:val="fr-FR"/>
        </w:rPr>
        <w:t xml:space="preserve"> </w:t>
      </w:r>
      <w:r w:rsidR="008C0845" w:rsidRPr="00A75145">
        <w:rPr>
          <w:color w:val="000000" w:themeColor="text1"/>
          <w:lang w:val="fr-FR"/>
        </w:rPr>
        <w:t>sécurité</w:t>
      </w:r>
      <w:r w:rsidR="00A75145" w:rsidRPr="00A75145">
        <w:rPr>
          <w:color w:val="000000" w:themeColor="text1"/>
          <w:lang w:val="fr-FR"/>
        </w:rPr>
        <w:t xml:space="preserve">́ </w:t>
      </w:r>
      <w:r w:rsidR="008C0845" w:rsidRPr="00A75145">
        <w:rPr>
          <w:color w:val="000000" w:themeColor="text1"/>
          <w:lang w:val="fr-FR"/>
        </w:rPr>
        <w:t>économique</w:t>
      </w:r>
      <w:r w:rsidR="00A75145" w:rsidRPr="00A75145">
        <w:rPr>
          <w:color w:val="000000" w:themeColor="text1"/>
          <w:lang w:val="fr-FR"/>
        </w:rPr>
        <w:t xml:space="preserve"> </w:t>
      </w:r>
      <w:r w:rsidR="00CC46F0">
        <w:rPr>
          <w:color w:val="000000" w:themeColor="text1"/>
          <w:lang w:val="fr-FR"/>
        </w:rPr>
        <w:t xml:space="preserve">et </w:t>
      </w:r>
      <w:r w:rsidR="00CC46F0" w:rsidRPr="00A75145">
        <w:rPr>
          <w:color w:val="000000" w:themeColor="text1"/>
          <w:lang w:val="fr-FR"/>
        </w:rPr>
        <w:t>l</w:t>
      </w:r>
      <w:r w:rsidR="00CC46F0">
        <w:rPr>
          <w:color w:val="000000" w:themeColor="text1"/>
          <w:lang w:val="fr-FR"/>
        </w:rPr>
        <w:t>a</w:t>
      </w:r>
      <w:r w:rsidR="00CC46F0" w:rsidRPr="00A75145">
        <w:rPr>
          <w:color w:val="000000" w:themeColor="text1"/>
          <w:lang w:val="fr-FR"/>
        </w:rPr>
        <w:t xml:space="preserve"> préférence européenne </w:t>
      </w:r>
      <w:r w:rsidR="00CC46F0">
        <w:rPr>
          <w:color w:val="000000" w:themeColor="text1"/>
          <w:lang w:val="fr-FR"/>
        </w:rPr>
        <w:t>seront</w:t>
      </w:r>
      <w:r w:rsidR="00A75145" w:rsidRPr="00A75145">
        <w:rPr>
          <w:color w:val="000000" w:themeColor="text1"/>
          <w:lang w:val="fr-FR"/>
        </w:rPr>
        <w:t xml:space="preserve"> mi</w:t>
      </w:r>
      <w:r w:rsidR="00A36ACE">
        <w:rPr>
          <w:color w:val="000000" w:themeColor="text1"/>
          <w:lang w:val="fr-FR"/>
        </w:rPr>
        <w:t>eux prise en compte</w:t>
      </w:r>
      <w:r w:rsidR="00A75145" w:rsidRPr="00A75145">
        <w:rPr>
          <w:color w:val="000000" w:themeColor="text1"/>
          <w:lang w:val="fr-FR"/>
        </w:rPr>
        <w:t xml:space="preserve">. </w:t>
      </w:r>
      <w:r w:rsidR="00CC46F0">
        <w:rPr>
          <w:color w:val="000000" w:themeColor="text1"/>
          <w:lang w:val="fr-FR"/>
        </w:rPr>
        <w:t>L</w:t>
      </w:r>
      <w:r w:rsidR="00B27FDD">
        <w:rPr>
          <w:color w:val="000000" w:themeColor="text1"/>
          <w:lang w:val="fr-FR"/>
        </w:rPr>
        <w:t xml:space="preserve">es </w:t>
      </w:r>
      <w:r w:rsidR="006B0932" w:rsidRPr="00A75145">
        <w:rPr>
          <w:rFonts w:eastAsiaTheme="minorHAnsi"/>
          <w:color w:val="000000" w:themeColor="text1"/>
          <w:lang w:val="fr-FR" w:eastAsia="en-US"/>
          <w14:ligatures w14:val="standardContextual"/>
        </w:rPr>
        <w:t>recommandations</w:t>
      </w:r>
      <w:r w:rsidR="006B0932">
        <w:rPr>
          <w:color w:val="000000" w:themeColor="text1"/>
          <w:lang w:val="fr-FR"/>
        </w:rPr>
        <w:t xml:space="preserve"> les</w:t>
      </w:r>
      <w:r w:rsidR="00B27FDD">
        <w:rPr>
          <w:color w:val="000000" w:themeColor="text1"/>
          <w:lang w:val="fr-FR"/>
        </w:rPr>
        <w:t xml:space="preserve"> plus importantes à mes yeux portent sur l</w:t>
      </w:r>
      <w:r w:rsidR="008C0845">
        <w:rPr>
          <w:color w:val="000000" w:themeColor="text1"/>
          <w:lang w:val="fr-FR"/>
        </w:rPr>
        <w:t>a</w:t>
      </w:r>
      <w:r w:rsidR="00A75145" w:rsidRPr="00A75145">
        <w:rPr>
          <w:color w:val="000000" w:themeColor="text1"/>
          <w:lang w:val="fr-FR"/>
        </w:rPr>
        <w:t xml:space="preserve"> </w:t>
      </w:r>
      <w:r w:rsidR="008C0845" w:rsidRPr="00A75145">
        <w:rPr>
          <w:color w:val="000000" w:themeColor="text1"/>
          <w:lang w:val="fr-FR"/>
        </w:rPr>
        <w:t>réforme</w:t>
      </w:r>
      <w:r w:rsidR="008C0845">
        <w:rPr>
          <w:color w:val="000000" w:themeColor="text1"/>
          <w:lang w:val="fr-FR"/>
        </w:rPr>
        <w:t xml:space="preserve"> de</w:t>
      </w:r>
      <w:r w:rsidR="00A75145" w:rsidRPr="00A75145">
        <w:rPr>
          <w:color w:val="000000" w:themeColor="text1"/>
          <w:lang w:val="fr-FR"/>
        </w:rPr>
        <w:t xml:space="preserve"> la gouvernance, l</w:t>
      </w:r>
      <w:r w:rsidR="008C0845">
        <w:rPr>
          <w:color w:val="000000" w:themeColor="text1"/>
          <w:lang w:val="fr-FR"/>
        </w:rPr>
        <w:t>’achèvement du</w:t>
      </w:r>
      <w:r w:rsidR="00A75145" w:rsidRPr="00A75145">
        <w:rPr>
          <w:color w:val="000000" w:themeColor="text1"/>
          <w:lang w:val="fr-FR"/>
        </w:rPr>
        <w:t xml:space="preserve"> </w:t>
      </w:r>
      <w:r w:rsidR="002D4D21" w:rsidRPr="00A75145">
        <w:rPr>
          <w:color w:val="000000" w:themeColor="text1"/>
          <w:lang w:val="fr-FR"/>
        </w:rPr>
        <w:t>marché</w:t>
      </w:r>
      <w:r w:rsidR="00A75145" w:rsidRPr="00A75145">
        <w:rPr>
          <w:color w:val="000000" w:themeColor="text1"/>
          <w:lang w:val="fr-FR"/>
        </w:rPr>
        <w:t xml:space="preserve">́ des capitaux et </w:t>
      </w:r>
      <w:r w:rsidR="008C0845">
        <w:rPr>
          <w:color w:val="000000" w:themeColor="text1"/>
          <w:lang w:val="fr-FR"/>
        </w:rPr>
        <w:t xml:space="preserve">la </w:t>
      </w:r>
      <w:r w:rsidR="00A75145" w:rsidRPr="00A75145">
        <w:rPr>
          <w:color w:val="000000" w:themeColor="text1"/>
          <w:lang w:val="fr-FR"/>
        </w:rPr>
        <w:t xml:space="preserve">fin </w:t>
      </w:r>
      <w:r w:rsidR="008C0845">
        <w:rPr>
          <w:color w:val="000000" w:themeColor="text1"/>
          <w:lang w:val="fr-FR"/>
        </w:rPr>
        <w:t>des</w:t>
      </w:r>
      <w:r w:rsidR="00A75145" w:rsidRPr="00A75145">
        <w:rPr>
          <w:color w:val="000000" w:themeColor="text1"/>
          <w:lang w:val="fr-FR"/>
        </w:rPr>
        <w:t xml:space="preserve"> </w:t>
      </w:r>
      <w:r w:rsidR="008C0845" w:rsidRPr="00A75145">
        <w:rPr>
          <w:color w:val="000000" w:themeColor="text1"/>
          <w:lang w:val="fr-FR"/>
        </w:rPr>
        <w:t>dépendances</w:t>
      </w:r>
      <w:r w:rsidR="00A75145" w:rsidRPr="00A75145">
        <w:rPr>
          <w:color w:val="000000" w:themeColor="text1"/>
          <w:lang w:val="fr-FR"/>
        </w:rPr>
        <w:t xml:space="preserve"> </w:t>
      </w:r>
      <w:r w:rsidR="008C0845" w:rsidRPr="00A75145">
        <w:rPr>
          <w:color w:val="000000" w:themeColor="text1"/>
          <w:lang w:val="fr-FR"/>
        </w:rPr>
        <w:t>stratégiques</w:t>
      </w:r>
      <w:r w:rsidR="00A75145" w:rsidRPr="00A75145">
        <w:rPr>
          <w:color w:val="000000" w:themeColor="text1"/>
          <w:lang w:val="fr-FR"/>
        </w:rPr>
        <w:t xml:space="preserve"> de l’UE</w:t>
      </w:r>
      <w:r w:rsidR="00B27FDD">
        <w:rPr>
          <w:color w:val="000000" w:themeColor="text1"/>
          <w:lang w:val="fr-FR"/>
        </w:rPr>
        <w:t>. Elles</w:t>
      </w:r>
      <w:r w:rsidR="00CC46F0">
        <w:rPr>
          <w:color w:val="000000" w:themeColor="text1"/>
          <w:lang w:val="fr-FR"/>
        </w:rPr>
        <w:t xml:space="preserve"> ne sont malheureusement pas à l’ordre du jour du </w:t>
      </w:r>
      <w:r w:rsidR="00CC46F0">
        <w:rPr>
          <w:rFonts w:eastAsiaTheme="minorHAnsi"/>
          <w:color w:val="000000" w:themeColor="text1"/>
          <w:lang w:val="fr-FR" w:eastAsia="en-US"/>
          <w14:ligatures w14:val="standardContextual"/>
        </w:rPr>
        <w:t>Conseil européen</w:t>
      </w:r>
      <w:r w:rsidR="00A75145" w:rsidRPr="00A75145">
        <w:rPr>
          <w:color w:val="000000" w:themeColor="text1"/>
          <w:lang w:val="fr-FR"/>
        </w:rPr>
        <w:t>.</w:t>
      </w:r>
      <w:r w:rsidR="00AD4FC9" w:rsidRPr="00A75145">
        <w:rPr>
          <w:rStyle w:val="Appelnotedebasdep"/>
          <w:rFonts w:eastAsiaTheme="minorHAnsi"/>
          <w:color w:val="000000" w:themeColor="text1"/>
          <w:lang w:val="fr-FR" w:eastAsia="en-US"/>
          <w14:ligatures w14:val="standardContextual"/>
        </w:rPr>
        <w:footnoteReference w:id="6"/>
      </w:r>
    </w:p>
    <w:p w14:paraId="25511A97" w14:textId="77777777" w:rsidR="00447A8A" w:rsidRPr="00447A8A" w:rsidRDefault="00447A8A" w:rsidP="003C78C6">
      <w:pPr>
        <w:suppressAutoHyphens w:val="0"/>
        <w:adjustRightInd w:val="0"/>
        <w:spacing w:after="120"/>
        <w:jc w:val="both"/>
        <w:rPr>
          <w:b/>
          <w:bCs/>
          <w:color w:val="000000" w:themeColor="text1"/>
        </w:rPr>
      </w:pPr>
      <w:r w:rsidRPr="00447A8A">
        <w:rPr>
          <w:b/>
          <w:bCs/>
          <w:color w:val="000000" w:themeColor="text1"/>
        </w:rPr>
        <w:t>Considérations finales</w:t>
      </w:r>
    </w:p>
    <w:p w14:paraId="2694B4DD" w14:textId="7533454B" w:rsidR="00386251" w:rsidRDefault="00B27FDD" w:rsidP="00386251">
      <w:pPr>
        <w:spacing w:after="120"/>
        <w:jc w:val="both"/>
        <w:rPr>
          <w:color w:val="000000" w:themeColor="text1"/>
          <w:shd w:val="clear" w:color="auto" w:fill="F8F8F8"/>
        </w:rPr>
      </w:pPr>
      <w:r w:rsidRPr="002A4CB5">
        <w:rPr>
          <w:color w:val="000000"/>
        </w:rPr>
        <w:t>Jean Quatremer</w:t>
      </w:r>
      <w:r w:rsidRPr="002A4CB5">
        <w:rPr>
          <w:color w:val="000000" w:themeColor="text1"/>
          <w:shd w:val="clear" w:color="auto" w:fill="F8F8F8"/>
        </w:rPr>
        <w:t xml:space="preserve"> </w:t>
      </w:r>
      <w:r>
        <w:rPr>
          <w:color w:val="000000" w:themeColor="text1"/>
          <w:shd w:val="clear" w:color="auto" w:fill="F8F8F8"/>
        </w:rPr>
        <w:t>a eu raison d’écrire</w:t>
      </w:r>
      <w:r w:rsidR="002A4CB5">
        <w:rPr>
          <w:color w:val="000000" w:themeColor="text1"/>
          <w:shd w:val="clear" w:color="auto" w:fill="F8F8F8"/>
        </w:rPr>
        <w:t xml:space="preserve"> ceci : </w:t>
      </w:r>
      <w:r w:rsidR="00386251">
        <w:rPr>
          <w:color w:val="000000" w:themeColor="text1"/>
          <w:shd w:val="clear" w:color="auto" w:fill="F8F8F8"/>
        </w:rPr>
        <w:t>« </w:t>
      </w:r>
      <w:r w:rsidR="00386251" w:rsidRPr="00103FDA">
        <w:rPr>
          <w:color w:val="000000" w:themeColor="text1"/>
          <w:shd w:val="clear" w:color="auto" w:fill="F8F8F8"/>
        </w:rPr>
        <w:t xml:space="preserve">Pour qu’il y ait un « moment hamiltonien » durable, encore faudrait-il des institutions fédérales qui décident seules et non un aréopage de chefs d’État et de gouvernement prenant des décisions à l’unanimité. Que seraient devenus les États-Unis </w:t>
      </w:r>
      <w:r w:rsidR="00386251">
        <w:rPr>
          <w:rFonts w:eastAsiaTheme="minorHAnsi"/>
          <w:color w:val="000000"/>
          <w:lang w:val="fr-FR" w:eastAsia="en-US"/>
          <w14:ligatures w14:val="standardContextual"/>
        </w:rPr>
        <w:t xml:space="preserve">[d’Amérique] </w:t>
      </w:r>
      <w:r w:rsidR="00386251" w:rsidRPr="00103FDA">
        <w:rPr>
          <w:color w:val="000000" w:themeColor="text1"/>
          <w:shd w:val="clear" w:color="auto" w:fill="F8F8F8"/>
        </w:rPr>
        <w:t>si les 50 gouverneurs des États décidaient par consensus ?</w:t>
      </w:r>
      <w:r w:rsidR="00386251">
        <w:rPr>
          <w:color w:val="000000" w:themeColor="text1"/>
          <w:shd w:val="clear" w:color="auto" w:fill="F8F8F8"/>
        </w:rPr>
        <w:t> ».</w:t>
      </w:r>
      <w:r w:rsidR="00386251" w:rsidRPr="007375ED">
        <w:rPr>
          <w:rStyle w:val="Appelnotedebasdep"/>
          <w:color w:val="000000"/>
        </w:rPr>
        <w:footnoteReference w:id="7"/>
      </w:r>
    </w:p>
    <w:p w14:paraId="5952DDB8" w14:textId="4AF63E6A" w:rsidR="00386251" w:rsidRPr="00753213" w:rsidRDefault="00386251" w:rsidP="00386251">
      <w:pPr>
        <w:spacing w:after="120"/>
        <w:jc w:val="both"/>
        <w:rPr>
          <w:color w:val="000000" w:themeColor="text1"/>
        </w:rPr>
      </w:pPr>
      <w:r>
        <w:rPr>
          <w:color w:val="000000" w:themeColor="text1"/>
        </w:rPr>
        <w:t>Le</w:t>
      </w:r>
      <w:r w:rsidRPr="00753213">
        <w:rPr>
          <w:color w:val="000000" w:themeColor="text1"/>
        </w:rPr>
        <w:t xml:space="preserve">s dirigeants </w:t>
      </w:r>
      <w:r w:rsidR="0064364D">
        <w:rPr>
          <w:color w:val="000000" w:themeColor="text1"/>
        </w:rPr>
        <w:t xml:space="preserve">européens </w:t>
      </w:r>
      <w:r w:rsidRPr="00753213">
        <w:rPr>
          <w:color w:val="000000" w:themeColor="text1"/>
        </w:rPr>
        <w:t xml:space="preserve">se veulent plus souverains, mais ils se soumettent de plus en plus aux États-Unis d'Amérique, alors que les intérêts de ceux-ci diffèrent des nôtres et que l’Occident perd de son influence face à la Russie, à la Chine, etc., notamment parce que ces autocraties ne prennent en compte que leurs intérêts et les rapports de forces. Si l’Europe veut promouvoir nos valeurs et les droits de l’Homme, elle doit être plus forte que ne l’est l'UE. Son </w:t>
      </w:r>
      <w:r w:rsidRPr="002A4CB5">
        <w:rPr>
          <w:i/>
          <w:iCs/>
          <w:color w:val="000000" w:themeColor="text1"/>
        </w:rPr>
        <w:t>Soft Power</w:t>
      </w:r>
      <w:r w:rsidRPr="00753213">
        <w:rPr>
          <w:color w:val="000000" w:themeColor="text1"/>
        </w:rPr>
        <w:t xml:space="preserve">, par ailleurs si utile dans les relations avec les pays pacifiques, ne sert à rien face à des gens qui se servent du </w:t>
      </w:r>
      <w:r w:rsidRPr="002A4CB5">
        <w:rPr>
          <w:i/>
          <w:iCs/>
          <w:color w:val="000000" w:themeColor="text1"/>
        </w:rPr>
        <w:t>Hard Power</w:t>
      </w:r>
      <w:r w:rsidR="0064364D">
        <w:rPr>
          <w:color w:val="000000" w:themeColor="text1"/>
        </w:rPr>
        <w:t>, dont l’UE ne dispose pas</w:t>
      </w:r>
      <w:r w:rsidRPr="00753213">
        <w:rPr>
          <w:color w:val="000000" w:themeColor="text1"/>
        </w:rPr>
        <w:t>.</w:t>
      </w:r>
    </w:p>
    <w:p w14:paraId="04F33920" w14:textId="2B4DF303" w:rsidR="0064364D" w:rsidRPr="007375ED" w:rsidRDefault="0064364D" w:rsidP="0064364D">
      <w:pPr>
        <w:spacing w:after="120"/>
        <w:jc w:val="both"/>
        <w:rPr>
          <w:rFonts w:eastAsiaTheme="minorHAnsi"/>
          <w:color w:val="000000" w:themeColor="text1"/>
          <w:lang w:val="fr-FR" w:eastAsia="en-US"/>
          <w14:ligatures w14:val="standardContextual"/>
        </w:rPr>
      </w:pPr>
      <w:r w:rsidRPr="007375ED">
        <w:rPr>
          <w:color w:val="000000" w:themeColor="text1"/>
          <w:shd w:val="clear" w:color="auto" w:fill="FFFFFF"/>
        </w:rPr>
        <w:t>En 2020, l</w:t>
      </w:r>
      <w:r w:rsidRPr="007375ED">
        <w:rPr>
          <w:color w:val="000000" w:themeColor="text1"/>
        </w:rPr>
        <w:t>’UE a affecté, pour la première fois, 0,7% du budget 2021-2027, soit 13,2 milliards € pour sept années, à notre sécurité et à notre défense. C’est moins de 2 milliards par an pour 440 millions d’habitants ou 5 € par contribuable et par an.</w:t>
      </w:r>
      <w:r>
        <w:rPr>
          <w:color w:val="000000" w:themeColor="text1"/>
        </w:rPr>
        <w:t xml:space="preserve"> </w:t>
      </w:r>
      <w:r w:rsidRPr="007375ED">
        <w:rPr>
          <w:color w:val="000000" w:themeColor="text1"/>
        </w:rPr>
        <w:t>I</w:t>
      </w:r>
      <w:r>
        <w:rPr>
          <w:color w:val="000000" w:themeColor="text1"/>
        </w:rPr>
        <w:t xml:space="preserve">l n’est donc pas étonnant que </w:t>
      </w:r>
      <w:r w:rsidRPr="007375ED">
        <w:rPr>
          <w:color w:val="000000" w:themeColor="text1"/>
        </w:rPr>
        <w:t>l'Europe</w:t>
      </w:r>
      <w:r>
        <w:rPr>
          <w:color w:val="000000" w:themeColor="text1"/>
        </w:rPr>
        <w:t xml:space="preserve"> ne pèse quasi</w:t>
      </w:r>
      <w:r w:rsidR="002A4CB5">
        <w:rPr>
          <w:color w:val="000000" w:themeColor="text1"/>
        </w:rPr>
        <w:t>ment</w:t>
      </w:r>
      <w:r>
        <w:rPr>
          <w:color w:val="000000" w:themeColor="text1"/>
        </w:rPr>
        <w:t xml:space="preserve"> rien</w:t>
      </w:r>
      <w:r w:rsidRPr="007375ED">
        <w:rPr>
          <w:color w:val="000000" w:themeColor="text1"/>
        </w:rPr>
        <w:t xml:space="preserve"> sur la scène internationale</w:t>
      </w:r>
      <w:r w:rsidR="002A4CB5">
        <w:rPr>
          <w:color w:val="000000" w:themeColor="text1"/>
        </w:rPr>
        <w:t>.</w:t>
      </w:r>
    </w:p>
    <w:p w14:paraId="3757A781" w14:textId="20B77356" w:rsidR="00061C6D" w:rsidRPr="00DD7031" w:rsidRDefault="00386251" w:rsidP="00386251">
      <w:pPr>
        <w:adjustRightInd w:val="0"/>
        <w:snapToGrid w:val="0"/>
        <w:spacing w:after="120"/>
        <w:jc w:val="both"/>
        <w:rPr>
          <w:color w:val="000000" w:themeColor="text1"/>
          <w:lang w:val="fr-FR"/>
        </w:rPr>
      </w:pPr>
      <w:r>
        <w:t>U</w:t>
      </w:r>
      <w:r w:rsidRPr="00003F39">
        <w:t>ne défense européenne ne pourrait exister</w:t>
      </w:r>
      <w:r>
        <w:t xml:space="preserve">, l’Europe ne pourrait devenir une puissance, </w:t>
      </w:r>
      <w:r w:rsidRPr="00003F39">
        <w:t>qu</w:t>
      </w:r>
      <w:r w:rsidR="0064364D">
        <w:t>’</w:t>
      </w:r>
      <w:r w:rsidRPr="00003F39">
        <w:t>e</w:t>
      </w:r>
      <w:r w:rsidR="0064364D">
        <w:t>n</w:t>
      </w:r>
      <w:r w:rsidRPr="00003F39">
        <w:t xml:space="preserve"> se dota</w:t>
      </w:r>
      <w:r w:rsidR="0064364D">
        <w:t>n</w:t>
      </w:r>
      <w:r w:rsidRPr="00003F39">
        <w:t>t d'une constitution, fondement d’un État fédéral, démocratique, légitimé par le suffrage universel, au départ d’un noyau extensible</w:t>
      </w:r>
      <w:r w:rsidR="002A4CB5">
        <w:t xml:space="preserve"> d’États</w:t>
      </w:r>
      <w:r w:rsidR="0064364D">
        <w:t xml:space="preserve">, qui </w:t>
      </w:r>
      <w:r w:rsidR="00061C6D" w:rsidRPr="001A456F">
        <w:rPr>
          <w:color w:val="000000" w:themeColor="text1"/>
          <w:lang w:val="fr-FR"/>
        </w:rPr>
        <w:t>pourrait développ</w:t>
      </w:r>
      <w:r w:rsidR="002A4CB5">
        <w:rPr>
          <w:color w:val="000000" w:themeColor="text1"/>
          <w:lang w:val="fr-FR"/>
        </w:rPr>
        <w:t>er</w:t>
      </w:r>
      <w:r w:rsidR="00061C6D" w:rsidRPr="001A456F">
        <w:rPr>
          <w:color w:val="000000" w:themeColor="text1"/>
          <w:lang w:val="fr-FR"/>
        </w:rPr>
        <w:t xml:space="preserve"> un pilier européen de l’OTAN</w:t>
      </w:r>
      <w:r w:rsidR="002A4CB5">
        <w:rPr>
          <w:color w:val="000000" w:themeColor="text1"/>
          <w:lang w:val="fr-FR"/>
        </w:rPr>
        <w:t>,</w:t>
      </w:r>
      <w:r w:rsidR="00061C6D" w:rsidRPr="001A456F">
        <w:rPr>
          <w:color w:val="000000" w:themeColor="text1"/>
          <w:lang w:val="fr-FR"/>
        </w:rPr>
        <w:t xml:space="preserve"> </w:t>
      </w:r>
      <w:r w:rsidR="0064364D">
        <w:rPr>
          <w:color w:val="000000" w:themeColor="text1"/>
          <w:lang w:val="fr-FR"/>
        </w:rPr>
        <w:t xml:space="preserve">capable de </w:t>
      </w:r>
      <w:r w:rsidR="00061C6D" w:rsidRPr="001A456F">
        <w:rPr>
          <w:color w:val="000000" w:themeColor="text1"/>
          <w:lang w:val="fr-FR"/>
        </w:rPr>
        <w:t xml:space="preserve">mieux équilibrer géopolitiquement l’Alliance et ainsi </w:t>
      </w:r>
      <w:r w:rsidR="002A4CB5">
        <w:rPr>
          <w:color w:val="000000" w:themeColor="text1"/>
          <w:lang w:val="fr-FR"/>
        </w:rPr>
        <w:t>d’</w:t>
      </w:r>
      <w:r w:rsidR="00061C6D" w:rsidRPr="001A456F">
        <w:rPr>
          <w:color w:val="000000" w:themeColor="text1"/>
          <w:lang w:val="fr-FR"/>
        </w:rPr>
        <w:t>augmenter notre souveraineté</w:t>
      </w:r>
      <w:r w:rsidR="0064364D">
        <w:rPr>
          <w:color w:val="000000" w:themeColor="text1"/>
          <w:lang w:val="fr-FR"/>
        </w:rPr>
        <w:t>.</w:t>
      </w:r>
      <w:r w:rsidR="006B0932">
        <w:rPr>
          <w:color w:val="000000" w:themeColor="text1"/>
          <w:lang w:val="fr-FR"/>
        </w:rPr>
        <w:t xml:space="preserve"> C’est la base institutionnelle adéquate qui nous manque. Le financement n’est pas vraiment un problème, Hamilton l’</w:t>
      </w:r>
      <w:r w:rsidR="00680DFC">
        <w:rPr>
          <w:color w:val="000000" w:themeColor="text1"/>
          <w:lang w:val="fr-FR"/>
        </w:rPr>
        <w:t>a</w:t>
      </w:r>
      <w:r w:rsidR="006B0932">
        <w:rPr>
          <w:color w:val="000000" w:themeColor="text1"/>
          <w:lang w:val="fr-FR"/>
        </w:rPr>
        <w:t xml:space="preserve"> montré.</w:t>
      </w:r>
      <w:r w:rsidR="00680DFC">
        <w:rPr>
          <w:color w:val="000000" w:themeColor="text1"/>
          <w:lang w:val="fr-FR"/>
        </w:rPr>
        <w:t xml:space="preserve"> Il a pu s’appuyer sur une législation fédérale</w:t>
      </w:r>
      <w:r w:rsidR="000E6D1F">
        <w:rPr>
          <w:color w:val="000000" w:themeColor="text1"/>
          <w:lang w:val="fr-FR"/>
        </w:rPr>
        <w:t xml:space="preserve"> et une volonté politique qui manquent encore en Europe.</w:t>
      </w:r>
    </w:p>
    <w:sectPr w:rsidR="00061C6D" w:rsidRPr="00DD7031">
      <w:headerReference w:type="even" r:id="rId8"/>
      <w:headerReference w:type="default" r:id="rId9"/>
      <w:headerReference w:type="first" r:id="rId10"/>
      <w:pgSz w:w="11906" w:h="16838"/>
      <w:pgMar w:top="851" w:right="1418" w:bottom="851" w:left="1418"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6554" w14:textId="77777777" w:rsidR="001E5275" w:rsidRDefault="001E5275">
      <w:r>
        <w:separator/>
      </w:r>
    </w:p>
  </w:endnote>
  <w:endnote w:type="continuationSeparator" w:id="0">
    <w:p w14:paraId="6E050A27" w14:textId="77777777" w:rsidR="001E5275" w:rsidRDefault="001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NSimSun">
    <w:panose1 w:val="020B0604020202020204"/>
    <w:charset w:val="86"/>
    <w:family w:val="modern"/>
    <w:pitch w:val="fixed"/>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D941" w14:textId="77777777" w:rsidR="008D67DD" w:rsidRDefault="001E5275">
      <w:r>
        <w:separator/>
      </w:r>
    </w:p>
  </w:footnote>
  <w:footnote w:type="continuationSeparator" w:id="0">
    <w:p w14:paraId="487EFCBF" w14:textId="77777777" w:rsidR="008D67DD" w:rsidRDefault="001E5275">
      <w:r>
        <w:continuationSeparator/>
      </w:r>
    </w:p>
  </w:footnote>
  <w:footnote w:id="1">
    <w:p w14:paraId="503388A2" w14:textId="6780B5F1" w:rsidR="005208A1" w:rsidRPr="005208A1" w:rsidRDefault="005208A1">
      <w:pPr>
        <w:pStyle w:val="Notedebasdepage"/>
        <w:rPr>
          <w:lang w:val="nl-NL"/>
        </w:rPr>
      </w:pPr>
      <w:r>
        <w:rPr>
          <w:rStyle w:val="Appelnotedebasdep"/>
        </w:rPr>
        <w:footnoteRef/>
      </w:r>
      <w:r>
        <w:t xml:space="preserve"> </w:t>
      </w:r>
      <w:r w:rsidR="00CC33EA" w:rsidRPr="00CC33EA">
        <w:rPr>
          <w:rFonts w:cs="Times New Roman"/>
          <w:color w:val="000000" w:themeColor="text1"/>
          <w:lang w:val="en-US"/>
        </w:rPr>
        <w:t>s</w:t>
      </w:r>
      <w:r w:rsidRPr="00CC33EA">
        <w:rPr>
          <w:rFonts w:cs="Times New Roman"/>
          <w:color w:val="000000" w:themeColor="text1"/>
          <w:lang w:val="en-US"/>
        </w:rPr>
        <w:t>n, « </w:t>
      </w:r>
      <w:r w:rsidRPr="00CC33EA">
        <w:rPr>
          <w:rFonts w:cs="Times New Roman"/>
          <w:color w:val="000000"/>
          <w:lang w:val="en-US"/>
        </w:rPr>
        <w:t>How Alexander Hamilton Tackled the National Debt</w:t>
      </w:r>
      <w:r w:rsidRPr="00CC33EA">
        <w:rPr>
          <w:rFonts w:cs="Times New Roman"/>
          <w:color w:val="000000" w:themeColor="text1"/>
          <w:lang w:val="en-US"/>
        </w:rPr>
        <w:t xml:space="preserve"> » in </w:t>
      </w:r>
      <w:r w:rsidRPr="00CC33EA">
        <w:rPr>
          <w:rFonts w:cs="Times New Roman"/>
          <w:i/>
          <w:iCs/>
          <w:color w:val="000000" w:themeColor="text1"/>
          <w:lang w:val="en-US"/>
        </w:rPr>
        <w:t>Smithsonian magazine</w:t>
      </w:r>
      <w:r w:rsidRPr="00091202">
        <w:rPr>
          <w:rFonts w:cs="Times New Roman"/>
          <w:color w:val="000000" w:themeColor="text1"/>
        </w:rPr>
        <w:t xml:space="preserve">, </w:t>
      </w:r>
      <w:hyperlink r:id="rId1" w:history="1">
        <w:r w:rsidR="00EF2FB2" w:rsidRPr="00D4435A">
          <w:rPr>
            <w:rStyle w:val="Lienhypertexte"/>
            <w:rFonts w:cs="Times New Roman"/>
          </w:rPr>
          <w:t>https://www.smithsonianmag.com/sponsored/alexander-hamilton-debt-national-bank-two-parties-1789-american-history-great-courses-plus-180962954/</w:t>
        </w:r>
      </w:hyperlink>
      <w:r w:rsidR="00EF2FB2">
        <w:rPr>
          <w:rFonts w:cs="Times New Roman"/>
        </w:rPr>
        <w:t xml:space="preserve">, </w:t>
      </w:r>
      <w:r w:rsidRPr="00091202">
        <w:rPr>
          <w:rFonts w:cs="Times New Roman"/>
          <w:color w:val="000000" w:themeColor="text1"/>
        </w:rPr>
        <w:t>sd.</w:t>
      </w:r>
    </w:p>
  </w:footnote>
  <w:footnote w:id="2">
    <w:p w14:paraId="04A18F5E" w14:textId="31DF4B8E" w:rsidR="00CF3A51" w:rsidRPr="004F3218" w:rsidRDefault="00CF3A51" w:rsidP="00CF3A51">
      <w:pPr>
        <w:pStyle w:val="NormalWeb"/>
        <w:spacing w:beforeAutospacing="0" w:afterAutospacing="0"/>
        <w:rPr>
          <w:color w:val="000000"/>
          <w:sz w:val="20"/>
          <w:szCs w:val="20"/>
        </w:rPr>
      </w:pPr>
      <w:r w:rsidRPr="004F3218">
        <w:rPr>
          <w:rStyle w:val="Appelnotedebasdep"/>
          <w:sz w:val="20"/>
          <w:szCs w:val="20"/>
        </w:rPr>
        <w:footnoteRef/>
      </w:r>
      <w:r w:rsidRPr="004F3218">
        <w:rPr>
          <w:sz w:val="20"/>
          <w:szCs w:val="20"/>
        </w:rPr>
        <w:t xml:space="preserve"> </w:t>
      </w:r>
      <w:r>
        <w:rPr>
          <w:sz w:val="20"/>
          <w:szCs w:val="20"/>
        </w:rPr>
        <w:t xml:space="preserve">Voir notamment </w:t>
      </w:r>
      <w:r w:rsidRPr="004F3218">
        <w:rPr>
          <w:color w:val="000000"/>
          <w:sz w:val="20"/>
          <w:szCs w:val="20"/>
        </w:rPr>
        <w:t xml:space="preserve">Jean Quatremer, « Le "moment hamiltonien" de l'Europe » in </w:t>
      </w:r>
      <w:r w:rsidRPr="004F3218">
        <w:rPr>
          <w:i/>
          <w:iCs/>
          <w:color w:val="000000"/>
          <w:sz w:val="20"/>
          <w:szCs w:val="20"/>
        </w:rPr>
        <w:t>Libération</w:t>
      </w:r>
      <w:r w:rsidRPr="004F3218">
        <w:rPr>
          <w:color w:val="000000"/>
          <w:sz w:val="20"/>
          <w:szCs w:val="20"/>
        </w:rPr>
        <w:t>,</w:t>
      </w:r>
      <w:r>
        <w:rPr>
          <w:color w:val="000000"/>
          <w:sz w:val="20"/>
          <w:szCs w:val="20"/>
        </w:rPr>
        <w:t xml:space="preserve"> </w:t>
      </w:r>
      <w:hyperlink r:id="rId2" w:history="1">
        <w:r w:rsidRPr="004F3218">
          <w:rPr>
            <w:rStyle w:val="Lienhypertexte"/>
            <w:rFonts w:eastAsiaTheme="majorEastAsia"/>
            <w:sz w:val="20"/>
            <w:szCs w:val="20"/>
          </w:rPr>
          <w:t>https://www.liberation.fr/debats/2020/07/25/le-moment-hamiltonien-de-l-europe_1812359/?redirected=2284,</w:t>
        </w:r>
      </w:hyperlink>
      <w:r w:rsidRPr="004F3218">
        <w:rPr>
          <w:rStyle w:val="apple-converted-space"/>
          <w:rFonts w:eastAsiaTheme="majorEastAsia"/>
          <w:color w:val="000000"/>
          <w:sz w:val="20"/>
          <w:szCs w:val="20"/>
        </w:rPr>
        <w:t> </w:t>
      </w:r>
      <w:r w:rsidRPr="004F3218">
        <w:rPr>
          <w:color w:val="000000"/>
          <w:sz w:val="20"/>
          <w:szCs w:val="20"/>
        </w:rPr>
        <w:t>25/07/2020.</w:t>
      </w:r>
      <w:r w:rsidR="00142F39">
        <w:rPr>
          <w:color w:val="000000"/>
          <w:sz w:val="20"/>
          <w:szCs w:val="20"/>
        </w:rPr>
        <w:t xml:space="preserve"> Radio France et Médiapart ont </w:t>
      </w:r>
      <w:r w:rsidR="006373A4">
        <w:rPr>
          <w:color w:val="000000"/>
          <w:sz w:val="20"/>
          <w:szCs w:val="20"/>
        </w:rPr>
        <w:t>publié</w:t>
      </w:r>
      <w:r w:rsidR="00142F39">
        <w:rPr>
          <w:color w:val="000000"/>
          <w:sz w:val="20"/>
          <w:szCs w:val="20"/>
        </w:rPr>
        <w:t xml:space="preserve"> dans le même sens.</w:t>
      </w:r>
    </w:p>
  </w:footnote>
  <w:footnote w:id="3">
    <w:p w14:paraId="13D9F893" w14:textId="77777777" w:rsidR="00CC33EA" w:rsidRPr="00DC723B" w:rsidRDefault="00CC33EA" w:rsidP="00CC33EA">
      <w:pPr>
        <w:pStyle w:val="Notedebasdepage"/>
        <w:rPr>
          <w:rFonts w:cs="Times New Roman"/>
          <w:szCs w:val="18"/>
        </w:rPr>
      </w:pPr>
      <w:r w:rsidRPr="00DC723B">
        <w:rPr>
          <w:rStyle w:val="Appelnotedebasdep"/>
          <w:rFonts w:eastAsiaTheme="majorEastAsia" w:cs="Times New Roman"/>
          <w:szCs w:val="18"/>
        </w:rPr>
        <w:footnoteRef/>
      </w:r>
      <w:r w:rsidRPr="00DC723B">
        <w:rPr>
          <w:rFonts w:cs="Times New Roman"/>
          <w:szCs w:val="18"/>
        </w:rPr>
        <w:t xml:space="preserve"> Voir Henri Bentégeat, « </w:t>
      </w:r>
      <w:r w:rsidRPr="00DC723B">
        <w:rPr>
          <w:rFonts w:cs="Times New Roman"/>
          <w:bCs/>
          <w:szCs w:val="18"/>
        </w:rPr>
        <w:t>Quelles aspirations pour la défense européenne ? »</w:t>
      </w:r>
      <w:r w:rsidRPr="00DC723B">
        <w:rPr>
          <w:rFonts w:cs="Times New Roman"/>
          <w:szCs w:val="18"/>
        </w:rPr>
        <w:t xml:space="preserve"> in </w:t>
      </w:r>
      <w:proofErr w:type="spellStart"/>
      <w:r w:rsidRPr="00DC723B">
        <w:rPr>
          <w:rFonts w:cs="Times New Roman"/>
          <w:szCs w:val="18"/>
        </w:rPr>
        <w:t>Álvaro</w:t>
      </w:r>
      <w:proofErr w:type="spellEnd"/>
      <w:r w:rsidRPr="00DC723B">
        <w:rPr>
          <w:rFonts w:cs="Times New Roman"/>
          <w:szCs w:val="18"/>
        </w:rPr>
        <w:t xml:space="preserve"> de </w:t>
      </w:r>
      <w:proofErr w:type="spellStart"/>
      <w:r w:rsidRPr="00DC723B">
        <w:rPr>
          <w:rFonts w:cs="Times New Roman"/>
          <w:szCs w:val="18"/>
        </w:rPr>
        <w:t>Vasconcelos</w:t>
      </w:r>
      <w:proofErr w:type="spellEnd"/>
      <w:r w:rsidRPr="00DC723B">
        <w:rPr>
          <w:rFonts w:cs="Times New Roman"/>
          <w:szCs w:val="18"/>
        </w:rPr>
        <w:t xml:space="preserve"> (dir.), </w:t>
      </w:r>
      <w:r w:rsidRPr="00DC723B">
        <w:rPr>
          <w:rFonts w:cs="Times New Roman"/>
          <w:i/>
          <w:szCs w:val="18"/>
        </w:rPr>
        <w:t>Quelle défense européenne en 2020 ?</w:t>
      </w:r>
      <w:r w:rsidRPr="00DC723B">
        <w:rPr>
          <w:rFonts w:cs="Times New Roman"/>
          <w:szCs w:val="18"/>
        </w:rPr>
        <w:t>, Paris, IESUE, 3</w:t>
      </w:r>
      <w:r w:rsidRPr="00DC723B">
        <w:rPr>
          <w:rFonts w:cs="Times New Roman"/>
          <w:szCs w:val="18"/>
          <w:vertAlign w:val="superscript"/>
        </w:rPr>
        <w:t>e</w:t>
      </w:r>
      <w:r w:rsidRPr="00DC723B">
        <w:rPr>
          <w:rFonts w:cs="Times New Roman"/>
          <w:szCs w:val="18"/>
        </w:rPr>
        <w:t xml:space="preserve"> éd., mars 2010, p. 105.</w:t>
      </w:r>
    </w:p>
  </w:footnote>
  <w:footnote w:id="4">
    <w:p w14:paraId="3E082CCE" w14:textId="77777777" w:rsidR="00926036" w:rsidRPr="00D0545B" w:rsidRDefault="00926036" w:rsidP="00926036">
      <w:pPr>
        <w:pStyle w:val="Notedebasdepage"/>
        <w:rPr>
          <w:rFonts w:cs="Times New Roman"/>
          <w:color w:val="000000" w:themeColor="text1"/>
          <w:szCs w:val="18"/>
        </w:rPr>
      </w:pPr>
      <w:r w:rsidRPr="00D0545B">
        <w:rPr>
          <w:rStyle w:val="Appelnotedebasdep"/>
          <w:rFonts w:eastAsiaTheme="majorEastAsia" w:cs="Times New Roman"/>
          <w:szCs w:val="18"/>
        </w:rPr>
        <w:footnoteRef/>
      </w:r>
      <w:r w:rsidRPr="00D0545B">
        <w:rPr>
          <w:rFonts w:cs="Times New Roman"/>
          <w:szCs w:val="18"/>
        </w:rPr>
        <w:t xml:space="preserve"> </w:t>
      </w:r>
      <w:r w:rsidRPr="00D0545B">
        <w:rPr>
          <w:rFonts w:cs="Times New Roman"/>
          <w:color w:val="000000" w:themeColor="text1"/>
          <w:szCs w:val="18"/>
        </w:rPr>
        <w:t xml:space="preserve">Voir Paul Goldschmidt, </w:t>
      </w:r>
      <w:r w:rsidRPr="00D0545B">
        <w:rPr>
          <w:rFonts w:cs="Times New Roman"/>
          <w:i/>
          <w:iCs/>
          <w:color w:val="000000" w:themeColor="text1"/>
          <w:szCs w:val="18"/>
        </w:rPr>
        <w:t>L’Euro n’est pas une monnaie comme les autres !</w:t>
      </w:r>
      <w:r w:rsidRPr="00D0545B">
        <w:rPr>
          <w:rFonts w:cs="Times New Roman"/>
          <w:color w:val="000000" w:themeColor="text1"/>
          <w:szCs w:val="18"/>
        </w:rPr>
        <w:t xml:space="preserve"> in Archives Jean Marsia, 16/12/2021.</w:t>
      </w:r>
    </w:p>
  </w:footnote>
  <w:footnote w:id="5">
    <w:p w14:paraId="679F3799" w14:textId="77777777" w:rsidR="00B31967" w:rsidRPr="004F3218" w:rsidRDefault="00B31967" w:rsidP="00B31967">
      <w:pPr>
        <w:pStyle w:val="Notedebasdepage"/>
        <w:rPr>
          <w:rFonts w:cs="Times New Roman"/>
          <w:lang w:val="en-US"/>
        </w:rPr>
      </w:pPr>
      <w:r w:rsidRPr="004F3218">
        <w:rPr>
          <w:rStyle w:val="Appelnotedebasdep"/>
          <w:rFonts w:eastAsiaTheme="majorEastAsia" w:cs="Times New Roman"/>
        </w:rPr>
        <w:footnoteRef/>
      </w:r>
      <w:r w:rsidRPr="004F3218">
        <w:rPr>
          <w:rFonts w:cs="Times New Roman"/>
          <w:lang w:val="en-US"/>
        </w:rPr>
        <w:t xml:space="preserve"> </w:t>
      </w:r>
      <w:r w:rsidRPr="004F3218">
        <w:rPr>
          <w:rFonts w:cs="Times New Roman"/>
          <w:color w:val="000000" w:themeColor="text1"/>
          <w:lang w:val="en-US"/>
        </w:rPr>
        <w:t xml:space="preserve">Voir Mario Draghi, "Risk-reducing and risk-sharing in our Monetary Union", Speech at the European University Institute, Florence, 11 May 2018, European Central Bank, </w:t>
      </w:r>
      <w:hyperlink r:id="rId3" w:history="1">
        <w:r w:rsidRPr="004F3218">
          <w:rPr>
            <w:rStyle w:val="Lienhypertexte"/>
            <w:rFonts w:eastAsiaTheme="majorEastAsia" w:cs="Times New Roman"/>
            <w:lang w:val="en-US"/>
          </w:rPr>
          <w:t>https://www.ecb.europa.eu/press/key/date/2018/html/ecb.sp180511.en.html</w:t>
        </w:r>
      </w:hyperlink>
      <w:r w:rsidRPr="004F3218">
        <w:rPr>
          <w:rFonts w:cs="Times New Roman"/>
          <w:color w:val="011F87"/>
          <w:lang w:val="en-US"/>
        </w:rPr>
        <w:t>.</w:t>
      </w:r>
    </w:p>
  </w:footnote>
  <w:footnote w:id="6">
    <w:p w14:paraId="4AD0F49C" w14:textId="425B817B" w:rsidR="00AD4FC9" w:rsidRPr="00AD4FC9" w:rsidRDefault="00AD4FC9">
      <w:pPr>
        <w:pStyle w:val="Notedebasdepage"/>
        <w:rPr>
          <w:lang w:val="nl-NL"/>
        </w:rPr>
      </w:pPr>
      <w:r>
        <w:rPr>
          <w:rStyle w:val="Appelnotedebasdep"/>
        </w:rPr>
        <w:footnoteRef/>
      </w:r>
      <w:r>
        <w:t xml:space="preserve"> </w:t>
      </w:r>
      <w:r w:rsidRPr="00AD4FC9">
        <w:t xml:space="preserve">François </w:t>
      </w:r>
      <w:proofErr w:type="spellStart"/>
      <w:r w:rsidRPr="00AD4FC9">
        <w:t>Chimits</w:t>
      </w:r>
      <w:proofErr w:type="spellEnd"/>
      <w:r w:rsidRPr="00AD4FC9">
        <w:t xml:space="preserve">, Jeanne </w:t>
      </w:r>
      <w:proofErr w:type="spellStart"/>
      <w:r w:rsidRPr="00AD4FC9">
        <w:t>Lebaudy</w:t>
      </w:r>
      <w:proofErr w:type="spellEnd"/>
      <w:r w:rsidRPr="00AD4FC9">
        <w:t xml:space="preserve">, Énora Morin, Eve </w:t>
      </w:r>
      <w:proofErr w:type="spellStart"/>
      <w:r w:rsidRPr="00AD4FC9">
        <w:t>Talkowski</w:t>
      </w:r>
      <w:proofErr w:type="spellEnd"/>
      <w:r>
        <w:t>,</w:t>
      </w:r>
      <w:r w:rsidRPr="00AD4FC9">
        <w:t xml:space="preserve"> </w:t>
      </w:r>
      <w:r>
        <w:t>« </w:t>
      </w:r>
      <w:r w:rsidRPr="00AD4FC9">
        <w:t xml:space="preserve">Rapport Draghi : l’Europe au </w:t>
      </w:r>
      <w:r>
        <w:br/>
        <w:t xml:space="preserve"> </w:t>
      </w:r>
      <w:r w:rsidRPr="00AD4FC9">
        <w:t>rendez-vous ?</w:t>
      </w:r>
      <w:r>
        <w:t xml:space="preserve"> » </w:t>
      </w:r>
      <w:r>
        <w:rPr>
          <w:lang w:val="nl-NL"/>
        </w:rPr>
        <w:t xml:space="preserve">in </w:t>
      </w:r>
      <w:proofErr w:type="spellStart"/>
      <w:r w:rsidRPr="00AD4FC9">
        <w:rPr>
          <w:i/>
          <w:iCs/>
          <w:lang w:val="nl-NL"/>
        </w:rPr>
        <w:t>Institut</w:t>
      </w:r>
      <w:proofErr w:type="spellEnd"/>
      <w:r w:rsidRPr="00AD4FC9">
        <w:rPr>
          <w:i/>
          <w:iCs/>
          <w:lang w:val="nl-NL"/>
        </w:rPr>
        <w:t xml:space="preserve"> </w:t>
      </w:r>
      <w:proofErr w:type="spellStart"/>
      <w:r w:rsidRPr="00AD4FC9">
        <w:rPr>
          <w:i/>
          <w:iCs/>
          <w:lang w:val="nl-NL"/>
        </w:rPr>
        <w:t>Montaigne</w:t>
      </w:r>
      <w:proofErr w:type="spellEnd"/>
      <w:r>
        <w:rPr>
          <w:lang w:val="nl-NL"/>
        </w:rPr>
        <w:t xml:space="preserve">, </w:t>
      </w:r>
      <w:hyperlink r:id="rId4" w:history="1">
        <w:r w:rsidRPr="00D4435A">
          <w:rPr>
            <w:rStyle w:val="Lienhypertexte"/>
            <w:lang w:val="nl-NL"/>
          </w:rPr>
          <w:t>https://www.institutmontaigne.org/publications/rapport-draghi-leurope-au-rendez-vous</w:t>
        </w:r>
      </w:hyperlink>
      <w:r>
        <w:rPr>
          <w:lang w:val="nl-NL"/>
        </w:rPr>
        <w:t>, juin 2026.</w:t>
      </w:r>
    </w:p>
  </w:footnote>
  <w:footnote w:id="7">
    <w:p w14:paraId="31EB4C77" w14:textId="77777777" w:rsidR="00386251" w:rsidRPr="004F3218" w:rsidRDefault="00386251" w:rsidP="00386251">
      <w:pPr>
        <w:pStyle w:val="NormalWeb"/>
        <w:spacing w:beforeAutospacing="0" w:afterAutospacing="0"/>
        <w:rPr>
          <w:color w:val="000000"/>
          <w:sz w:val="20"/>
          <w:szCs w:val="20"/>
        </w:rPr>
      </w:pPr>
      <w:r w:rsidRPr="004F3218">
        <w:rPr>
          <w:rStyle w:val="Appelnotedebasdep"/>
          <w:sz w:val="20"/>
          <w:szCs w:val="20"/>
        </w:rPr>
        <w:footnoteRef/>
      </w:r>
      <w:r w:rsidRPr="004F3218">
        <w:rPr>
          <w:sz w:val="20"/>
          <w:szCs w:val="20"/>
        </w:rPr>
        <w:t xml:space="preserve"> </w:t>
      </w:r>
      <w:r w:rsidRPr="004F3218">
        <w:rPr>
          <w:color w:val="000000"/>
          <w:sz w:val="20"/>
          <w:szCs w:val="20"/>
        </w:rPr>
        <w:t>Jean Quatremer, « Le "moment hamiltonien" de l'Europe »</w:t>
      </w:r>
      <w:r>
        <w:rPr>
          <w:color w:val="000000"/>
          <w:sz w:val="20"/>
          <w:szCs w:val="20"/>
        </w:rPr>
        <w:t>,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880" w14:textId="77777777" w:rsidR="008D67DD" w:rsidRDefault="001E5275">
    <w:pPr>
      <w:pStyle w:val="En-tte"/>
      <w:ind w:right="360"/>
    </w:pPr>
    <w:r>
      <w:rPr>
        <w:noProof/>
      </w:rPr>
      <mc:AlternateContent>
        <mc:Choice Requires="wps">
          <w:drawing>
            <wp:anchor distT="0" distB="0" distL="0" distR="0" simplePos="0" relativeHeight="251658752" behindDoc="0" locked="0" layoutInCell="1" allowOverlap="1" wp14:anchorId="415B2234" wp14:editId="603BFC2E">
              <wp:simplePos x="0" y="0"/>
              <wp:positionH relativeFrom="margin">
                <wp:align>right</wp:align>
              </wp:positionH>
              <wp:positionV relativeFrom="paragraph">
                <wp:posOffset>635</wp:posOffset>
              </wp:positionV>
              <wp:extent cx="14605" cy="14605"/>
              <wp:effectExtent l="0" t="0" r="0" b="0"/>
              <wp:wrapNone/>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42197358"/>
                            <w:docPartObj>
                              <w:docPartGallery w:val="Page Numbers (Top of Page)"/>
                              <w:docPartUnique/>
                            </w:docPartObj>
                          </w:sdtPr>
                          <w:sdtEndPr/>
                          <w:sdtContent>
                            <w:p w14:paraId="788C9FA4"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wps:txbx>
                    <wps:bodyPr lIns="0" tIns="0" rIns="0" bIns="0" anchor="t">
                      <a:spAutoFit/>
                    </wps:bodyPr>
                  </wps:wsp>
                </a:graphicData>
              </a:graphic>
            </wp:anchor>
          </w:drawing>
        </mc:Choice>
        <mc:Fallback>
          <w:pict>
            <v:shapetype w14:anchorId="415B2234" id="_x0000_t202" coordsize="21600,21600" o:spt="202" path="m,l,21600r21600,l21600,xe">
              <v:stroke joinstyle="miter"/>
              <v:path gradientshapeok="t" o:connecttype="rect"/>
            </v:shapetype>
            <v:shape id="Cadre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Du1nQEAAEIDAAAOAAAAZHJzL2Uyb0RvYy54bWysUttq3DAQfS/kH4Tes3JCGopZb2gSNhRK&#13;&#10;W0j7AbIsrQWSRmiUtffvO5L3Etq3Uj/IM5rRmTlnZv0we8f2OqGF0PGbVcOZDgoGG3Yd//Vze/2J&#13;&#10;M8wyDNJB0B0/aOQPm6sP6ym2+hZGcINOjEACtlPs+JhzbIVANWovcQVRBwoaSF5mctNODElOhO6d&#13;&#10;uG2aezFBGmICpRHp9nkJ8k3FN0ar/N0Y1Jm5jlNvuZ6pnn05xWYt212ScbTq2Ib8hy68tIGKnqGe&#13;&#10;ZZbsLdm/oLxVCRBMXinwAoyxSlcOxOam+YPN6yijrlxIHIxnmfD/wapv+9f4I7E8P8JMAyyCTBFb&#13;&#10;pMvCZzbJlz91yihOEh7Osuk5M1Ue3d03HzlTFFlMwhCXpzFhftHgWTE6nmgmVSq5/4p5ST2llEoI&#13;&#10;zg5b61x10q5/contJc1vW7/lrYujXG7rDKkcLqm19DsMcWFTrDz385FiD8OBmLsvgfQsu3Ey0sno&#13;&#10;T4YMagTamqVxjJ/fMmxtbb6ALkhUuTg0qNrDcanKJrz3a9Zl9Te/AQAA//8DAFBLAwQUAAYACAAA&#13;&#10;ACEAU3qzJ9wAAAAGAQAADwAAAGRycy9kb3ducmV2LnhtbEyPT0/DMAzF70h8h8hI3FjKQAi6ptME&#13;&#10;qsQE4s827lli2mqJUyXZVr493gkutuwnP/9eNR+9EweMqQ+k4HpSgEAywfbUKtism6t7EClrstoF&#13;&#10;QgU/mGBen59VurThSJ94WOVWsAmlUivoch5KKZPp0Os0CQMSa98hep15jK20UR/Z3Ds5LYo76XVP&#13;&#10;/KHTAz52aHarvVeQml16f1vE54+vB0eNWb4uw4tR6vJifJpxWcxAZBzz3wWcMjA/1Ay2DXuySTgF&#13;&#10;nCaftoK16Q2ILbdbkHUl/+PXvwAAAP//AwBQSwECLQAUAAYACAAAACEAtoM4kv4AAADhAQAAEwAA&#13;&#10;AAAAAAAAAAAAAAAAAAAAW0NvbnRlbnRfVHlwZXNdLnhtbFBLAQItABQABgAIAAAAIQA4/SH/1gAA&#13;&#10;AJQBAAALAAAAAAAAAAAAAAAAAC8BAABfcmVscy8ucmVsc1BLAQItABQABgAIAAAAIQBSBDu1nQEA&#13;&#10;AEIDAAAOAAAAAAAAAAAAAAAAAC4CAABkcnMvZTJvRG9jLnhtbFBLAQItABQABgAIAAAAIQBTerMn&#13;&#10;3AAAAAYBAAAPAAAAAAAAAAAAAAAAAPcDAABkcnMvZG93bnJldi54bWxQSwUGAAAAAAQABADzAAAA&#13;&#10;AAUAAAAA&#13;&#10;" stroked="f">
              <v:fill opacity="0"/>
              <v:textbox style="mso-fit-shape-to-text:t" inset="0,0,0,0">
                <w:txbxContent>
                  <w:sdt>
                    <w:sdtPr>
                      <w:id w:val="-142197358"/>
                      <w:docPartObj>
                        <w:docPartGallery w:val="Page Numbers (Top of Page)"/>
                        <w:docPartUnique/>
                      </w:docPartObj>
                    </w:sdtPr>
                    <w:sdtEndPr/>
                    <w:sdtContent>
                      <w:p w14:paraId="788C9FA4"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0D84" w14:textId="77777777" w:rsidR="008D67DD" w:rsidRDefault="001E5275">
    <w:pPr>
      <w:pStyle w:val="En-tte"/>
      <w:ind w:right="360"/>
    </w:pPr>
    <w:r>
      <w:rPr>
        <w:noProof/>
      </w:rPr>
      <mc:AlternateContent>
        <mc:Choice Requires="wps">
          <w:drawing>
            <wp:anchor distT="0" distB="0" distL="0" distR="0" simplePos="0" relativeHeight="251656704" behindDoc="0" locked="0" layoutInCell="0" allowOverlap="1" wp14:anchorId="78466200" wp14:editId="3F2A8C6A">
              <wp:simplePos x="0" y="0"/>
              <wp:positionH relativeFrom="margin">
                <wp:align>right</wp:align>
              </wp:positionH>
              <wp:positionV relativeFrom="paragraph">
                <wp:posOffset>635</wp:posOffset>
              </wp:positionV>
              <wp:extent cx="76835" cy="175260"/>
              <wp:effectExtent l="0" t="0" r="0" b="0"/>
              <wp:wrapNone/>
              <wp:docPr id="2"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770707774"/>
                            <w:docPartObj>
                              <w:docPartGallery w:val="Page Numbers (Top of Page)"/>
                              <w:docPartUnique/>
                            </w:docPartObj>
                          </w:sdtPr>
                          <w:sdtEndPr/>
                          <w:sdtContent>
                            <w:p w14:paraId="2501A1E2"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w:pict>
            <v:shapetype w14:anchorId="78466200" id="_x0000_t202" coordsize="21600,21600" o:spt="202" path="m,l,21600r21600,l21600,xe">
              <v:stroke joinstyle="miter"/>
              <v:path gradientshapeok="t" o:connecttype="rect"/>
            </v:shapetype>
            <v:shape id="Cadre2" o:spid="_x0000_s1027" type="#_x0000_t202" style="position:absolute;margin-left:-45.15pt;margin-top:.05pt;width:6.05pt;height:13.8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aPpAEAAEoDAAAOAAAAZHJzL2Uyb0RvYy54bWysU8Fu2zAMvQ/oPwi6N04yNC2MOMW2IkWB&#13;&#10;YRvQ7QNkWYoFSKIgqrHz96PkOgm22zAfZJKiH/ke6e3j6Cw7qogGfMNXiyVnykvojD80/NfP/e0D&#13;&#10;Z5iE74QFrxp+UsgfdzcftkOo1Rp6sJ2KjEA81kNoeJ9SqKsKZa+cwAUE5elSQ3QikRsPVRfFQOjO&#13;&#10;VuvlclMNELsQQSpEij5Nl3xX8LVWMn3XGlVituHUWypnLGebz2q3FfUhitAb+d6G+IcunDCeip6h&#13;&#10;nkQS7C2av6CckREQdFpIcBVobaQqHIjNavkHm9deBFW4kDgYzjLh/4OV346v4UdkafwMIw0wCzIE&#13;&#10;rJGCmc+oo8tv6pTRPUl4OsumxsQkBe83Dx/vOJN0s7q/W2+KqtXl2xAxPStwLBsNjzSUopU4fsVE&#13;&#10;9Sh1TsmlEKzp9sba4sRD+8VGdhQ0wH15pm9t6MUUncvhlFrwrjCqC51spbEdmemuqLbQnUgB++JJ&#13;&#10;17wjsxFno50N4WUPtD1T/xg+vSXYm8IhY09I1EB2aGCllfflyhtx7Zesyy+w+w0AAP//AwBQSwME&#13;&#10;FAAGAAgAAAAhAIypi3TdAAAACAEAAA8AAABkcnMvZG93bnJldi54bWxMj09PwzAMxe9IfIfISNxY&#13;&#10;Sg8MuqbTBKrEBOLPYPcs8dpqiVM12Va+Pe4JLrbsJz+/X7kcvRMnHGIXSMHtLAOBZILtqFHw/VXf&#13;&#10;3IOISZPVLhAq+MEIy+ryotSFDWf6xNMmNYJNKBZaQZtSX0gZTYtex1nokVjbh8HrxOPQSDvoM5t7&#13;&#10;J/Msu5Ned8QfWt3jY4vmsDl6BbE+xPe31fD8sX1wVJv16zq8GKWur8anBZfVAkTCMf1dwMTA+aHi&#13;&#10;YLtwJBuFU8A0adqKScu57xTk8znIqpT/AapfAAAA//8DAFBLAQItABQABgAIAAAAIQC2gziS/gAA&#13;&#10;AOEBAAATAAAAAAAAAAAAAAAAAAAAAABbQ29udGVudF9UeXBlc10ueG1sUEsBAi0AFAAGAAgAAAAh&#13;&#10;ADj9If/WAAAAlAEAAAsAAAAAAAAAAAAAAAAALwEAAF9yZWxzLy5yZWxzUEsBAi0AFAAGAAgAAAAh&#13;&#10;AA639o+kAQAASgMAAA4AAAAAAAAAAAAAAAAALgIAAGRycy9lMm9Eb2MueG1sUEsBAi0AFAAGAAgA&#13;&#10;AAAhAIypi3TdAAAACAEAAA8AAAAAAAAAAAAAAAAA/gMAAGRycy9kb3ducmV2LnhtbFBLBQYAAAAA&#13;&#10;BAAEAPMAAAAIBQAAAAA=&#13;&#10;" o:allowincell="f" stroked="f">
              <v:fill opacity="0"/>
              <v:textbox style="mso-fit-shape-to-text:t" inset="0,0,0,0">
                <w:txbxContent>
                  <w:sdt>
                    <w:sdtPr>
                      <w:id w:val="-770707774"/>
                      <w:docPartObj>
                        <w:docPartGallery w:val="Page Numbers (Top of Page)"/>
                        <w:docPartUnique/>
                      </w:docPartObj>
                    </w:sdtPr>
                    <w:sdtEndPr/>
                    <w:sdtContent>
                      <w:p w14:paraId="2501A1E2"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894" w14:textId="77777777" w:rsidR="008D67DD" w:rsidRDefault="001E5275">
    <w:pPr>
      <w:pStyle w:val="En-tte"/>
      <w:ind w:right="360"/>
    </w:pPr>
    <w:r>
      <w:rPr>
        <w:noProof/>
      </w:rPr>
      <mc:AlternateContent>
        <mc:Choice Requires="wps">
          <w:drawing>
            <wp:anchor distT="0" distB="0" distL="0" distR="0" simplePos="0" relativeHeight="251657728" behindDoc="0" locked="0" layoutInCell="0" allowOverlap="1" wp14:anchorId="5E59A66F" wp14:editId="3052C7B1">
              <wp:simplePos x="0" y="0"/>
              <wp:positionH relativeFrom="margin">
                <wp:align>right</wp:align>
              </wp:positionH>
              <wp:positionV relativeFrom="paragraph">
                <wp:posOffset>635</wp:posOffset>
              </wp:positionV>
              <wp:extent cx="76835" cy="175260"/>
              <wp:effectExtent l="0" t="0" r="0" b="0"/>
              <wp:wrapNone/>
              <wp:docPr id="3" name="Cadr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sdt>
                          <w:sdtPr>
                            <w:id w:val="-1684434317"/>
                            <w:docPartObj>
                              <w:docPartGallery w:val="Page Numbers (Top of Page)"/>
                              <w:docPartUnique/>
                            </w:docPartObj>
                          </w:sdtPr>
                          <w:sdtEndPr/>
                          <w:sdtContent>
                            <w:p w14:paraId="4ABCFBA1"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wps:txbx>
                    <wps:bodyPr lIns="0" tIns="0" rIns="0" bIns="0" anchor="t">
                      <a:spAutoFit/>
                    </wps:bodyPr>
                  </wps:wsp>
                </a:graphicData>
              </a:graphic>
            </wp:anchor>
          </w:drawing>
        </mc:Choice>
        <mc:Fallback>
          <w:pict>
            <v:shapetype w14:anchorId="5E59A66F" id="_x0000_t202" coordsize="21600,21600" o:spt="202" path="m,l,21600r21600,l21600,xe">
              <v:stroke joinstyle="miter"/>
              <v:path gradientshapeok="t" o:connecttype="rect"/>
            </v:shapetype>
            <v:shape id="_x0000_s1028" type="#_x0000_t202" style="position:absolute;margin-left:-45.15pt;margin-top:.05pt;width:6.05pt;height:13.8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LM9pgEAAEoDAAAOAAAAZHJzL2Uyb0RvYy54bWysU8Fu2zAMvQ/oPwi6N0oyNC2MOMW2IkWB&#13;&#10;YRvQ9QNkWY4FSKIgqrHz96PkOim221AfZJKiH/ke6e396Cw76ogGfM1XiyVn2itojT/U/OX3/vqO&#13;&#10;M0zSt9KC1zU/aeT3u6tP2yFUeg092FZHRiAeqyHUvE8pVEKg6rWTuICgPV12EJ1M5MaDaKMcCN1Z&#13;&#10;sV4uN2KA2IYISiNS9GG65LuC33VapZ9dhzoxW3PqLZUzlrPJp9htZXWIMvRGvbUh/6MLJ42nomeo&#13;&#10;B5kke43mHyhnVASELi0UOAFdZ5QuHIjNavkXm+deBl24kDgYzjLhx8GqH8fn8CuyNH6FkQaYBRkC&#13;&#10;VkjBzGfsostv6pTRPUl4Osumx8QUBW83d59vOFN0s7q9WW+KquLybYiYHjU4lo2aRxpK0Uoev2Oi&#13;&#10;epQ6p+RSCNa0e2NtceKh+WYjO0oa4L4807c29HKKzuVwSi147zDEhU620tiMzLQ1X89UG2hPpIB9&#13;&#10;8qRr3pHZiLPRzIb0qgfanql/DF9eE+xN4ZCxJyRqIDs0sNLK23LljXjvl6zLL7D7AwAA//8DAFBL&#13;&#10;AwQUAAYACAAAACEAjKmLdN0AAAAIAQAADwAAAGRycy9kb3ducmV2LnhtbEyPT0/DMAzF70h8h8hI&#13;&#10;3FhKDwy6ptMEqsQE4s9g9yzx2mqJUzXZVr497gkutuwnP79fuRy9EyccYhdIwe0sA4Fkgu2oUfD9&#13;&#10;Vd/cg4hJk9UuECr4wQjL6vKi1IUNZ/rE0yY1gk0oFlpBm1JfSBlNi17HWeiRWNuHwevE49BIO+gz&#13;&#10;m3sn8yy7k153xB9a3eNji+awOXoFsT7E97fV8PyxfXBUm/XrOrwYpa6vxqcFl9UCRMIx/V3AxMD5&#13;&#10;oeJgu3AkG4VTwDRp2opJy7nvFOTzOciqlP8Bql8AAAD//wMAUEsBAi0AFAAGAAgAAAAhALaDOJL+&#13;&#10;AAAA4QEAABMAAAAAAAAAAAAAAAAAAAAAAFtDb250ZW50X1R5cGVzXS54bWxQSwECLQAUAAYACAAA&#13;&#10;ACEAOP0h/9YAAACUAQAACwAAAAAAAAAAAAAAAAAvAQAAX3JlbHMvLnJlbHNQSwECLQAUAAYACAAA&#13;&#10;ACEAXgSzPaYBAABKAwAADgAAAAAAAAAAAAAAAAAuAgAAZHJzL2Uyb0RvYy54bWxQSwECLQAUAAYA&#13;&#10;CAAAACEAjKmLdN0AAAAIAQAADwAAAAAAAAAAAAAAAAAABAAAZHJzL2Rvd25yZXYueG1sUEsFBgAA&#13;&#10;AAAEAAQA8wAAAAoFAAAAAA==&#13;&#10;" o:allowincell="f" stroked="f">
              <v:fill opacity="0"/>
              <v:textbox style="mso-fit-shape-to-text:t" inset="0,0,0,0">
                <w:txbxContent>
                  <w:sdt>
                    <w:sdtPr>
                      <w:id w:val="-1684434317"/>
                      <w:docPartObj>
                        <w:docPartGallery w:val="Page Numbers (Top of Page)"/>
                        <w:docPartUnique/>
                      </w:docPartObj>
                    </w:sdtPr>
                    <w:sdtEndPr/>
                    <w:sdtContent>
                      <w:p w14:paraId="4ABCFBA1" w14:textId="77777777" w:rsidR="008D67DD" w:rsidRDefault="001E5275">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4</w:t>
                        </w:r>
                        <w:r>
                          <w:rPr>
                            <w:rStyle w:val="Numrodepage"/>
                          </w:rPr>
                          <w:fldChar w:fldCharType="end"/>
                        </w:r>
                      </w:p>
                    </w:sdtContent>
                  </w:sdt>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AF0F73"/>
    <w:multiLevelType w:val="multilevel"/>
    <w:tmpl w:val="E210402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964"/>
        </w:tabs>
        <w:ind w:left="964" w:hanging="964"/>
      </w:pPr>
      <w:rPr>
        <w:rFonts w:ascii="Times New Roman" w:hAnsi="Times New Roman"/>
        <w:b w:val="0"/>
        <w:i/>
        <w:sz w:val="20"/>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D0528BF"/>
    <w:multiLevelType w:val="multilevel"/>
    <w:tmpl w:val="AC245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1230091">
    <w:abstractNumId w:val="1"/>
  </w:num>
  <w:num w:numId="2" w16cid:durableId="1510096869">
    <w:abstractNumId w:val="2"/>
  </w:num>
  <w:num w:numId="3" w16cid:durableId="97630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mailMerge>
    <w:mainDocumentType w:val="formLetters"/>
    <w:dataType w:val="textFile"/>
    <w:query w:val="SELECT * FROM Adresses.dbo.Adhérents 2022$"/>
  </w:mailMerge>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DD"/>
    <w:rsid w:val="00001110"/>
    <w:rsid w:val="000068DD"/>
    <w:rsid w:val="00025A6F"/>
    <w:rsid w:val="00034C73"/>
    <w:rsid w:val="0003585F"/>
    <w:rsid w:val="00041526"/>
    <w:rsid w:val="00061C6D"/>
    <w:rsid w:val="0007579B"/>
    <w:rsid w:val="00086616"/>
    <w:rsid w:val="00091202"/>
    <w:rsid w:val="00091747"/>
    <w:rsid w:val="000E2440"/>
    <w:rsid w:val="000E2AE5"/>
    <w:rsid w:val="000E6D1F"/>
    <w:rsid w:val="00103FDA"/>
    <w:rsid w:val="00107E1A"/>
    <w:rsid w:val="00142F39"/>
    <w:rsid w:val="001A3EDC"/>
    <w:rsid w:val="001C2D0B"/>
    <w:rsid w:val="001D1090"/>
    <w:rsid w:val="001E5275"/>
    <w:rsid w:val="002076C6"/>
    <w:rsid w:val="002102CC"/>
    <w:rsid w:val="0022263D"/>
    <w:rsid w:val="002850A7"/>
    <w:rsid w:val="0029140E"/>
    <w:rsid w:val="002A4CB5"/>
    <w:rsid w:val="002A7C01"/>
    <w:rsid w:val="002C4FF9"/>
    <w:rsid w:val="002D4D21"/>
    <w:rsid w:val="002F6BED"/>
    <w:rsid w:val="003657E6"/>
    <w:rsid w:val="00386251"/>
    <w:rsid w:val="003C135E"/>
    <w:rsid w:val="003C78C6"/>
    <w:rsid w:val="003D183D"/>
    <w:rsid w:val="003F0CF1"/>
    <w:rsid w:val="003F3A6D"/>
    <w:rsid w:val="003F7DC3"/>
    <w:rsid w:val="00411FE7"/>
    <w:rsid w:val="00416D7C"/>
    <w:rsid w:val="00447A8A"/>
    <w:rsid w:val="00455715"/>
    <w:rsid w:val="00473A76"/>
    <w:rsid w:val="004D3E0E"/>
    <w:rsid w:val="004D4740"/>
    <w:rsid w:val="004F3218"/>
    <w:rsid w:val="005208A1"/>
    <w:rsid w:val="0052570F"/>
    <w:rsid w:val="00554A1E"/>
    <w:rsid w:val="00570350"/>
    <w:rsid w:val="005764CD"/>
    <w:rsid w:val="005831EA"/>
    <w:rsid w:val="005941FB"/>
    <w:rsid w:val="005B2E73"/>
    <w:rsid w:val="006373A4"/>
    <w:rsid w:val="0064364D"/>
    <w:rsid w:val="0064547C"/>
    <w:rsid w:val="0065019B"/>
    <w:rsid w:val="006679BD"/>
    <w:rsid w:val="00680DFC"/>
    <w:rsid w:val="006B0932"/>
    <w:rsid w:val="007207B6"/>
    <w:rsid w:val="007375ED"/>
    <w:rsid w:val="00756F2A"/>
    <w:rsid w:val="0076564C"/>
    <w:rsid w:val="00771084"/>
    <w:rsid w:val="00790AC6"/>
    <w:rsid w:val="007E60F8"/>
    <w:rsid w:val="00801552"/>
    <w:rsid w:val="008234E0"/>
    <w:rsid w:val="00831034"/>
    <w:rsid w:val="00832393"/>
    <w:rsid w:val="00881824"/>
    <w:rsid w:val="008A6BD4"/>
    <w:rsid w:val="008B25DD"/>
    <w:rsid w:val="008C00B1"/>
    <w:rsid w:val="008C0845"/>
    <w:rsid w:val="008D311C"/>
    <w:rsid w:val="008D67DD"/>
    <w:rsid w:val="008E6F08"/>
    <w:rsid w:val="008F53B1"/>
    <w:rsid w:val="00926036"/>
    <w:rsid w:val="0093612F"/>
    <w:rsid w:val="00964D04"/>
    <w:rsid w:val="009A3145"/>
    <w:rsid w:val="009B3457"/>
    <w:rsid w:val="009D021E"/>
    <w:rsid w:val="00A36ACE"/>
    <w:rsid w:val="00A73634"/>
    <w:rsid w:val="00A75145"/>
    <w:rsid w:val="00AD4FC9"/>
    <w:rsid w:val="00AE45A2"/>
    <w:rsid w:val="00B27FDD"/>
    <w:rsid w:val="00B31967"/>
    <w:rsid w:val="00B9000C"/>
    <w:rsid w:val="00BA5537"/>
    <w:rsid w:val="00BF138D"/>
    <w:rsid w:val="00C02041"/>
    <w:rsid w:val="00C04713"/>
    <w:rsid w:val="00C072D3"/>
    <w:rsid w:val="00C241EB"/>
    <w:rsid w:val="00C34667"/>
    <w:rsid w:val="00C4485E"/>
    <w:rsid w:val="00CC2813"/>
    <w:rsid w:val="00CC33EA"/>
    <w:rsid w:val="00CC46F0"/>
    <w:rsid w:val="00CD7665"/>
    <w:rsid w:val="00CF3A51"/>
    <w:rsid w:val="00D0545B"/>
    <w:rsid w:val="00D17C30"/>
    <w:rsid w:val="00D24E37"/>
    <w:rsid w:val="00DD7031"/>
    <w:rsid w:val="00DF019D"/>
    <w:rsid w:val="00E31A48"/>
    <w:rsid w:val="00E359C7"/>
    <w:rsid w:val="00E46625"/>
    <w:rsid w:val="00E751E0"/>
    <w:rsid w:val="00ED6CB2"/>
    <w:rsid w:val="00EE1C4D"/>
    <w:rsid w:val="00EF2FB2"/>
    <w:rsid w:val="00F46FF5"/>
    <w:rsid w:val="00F8247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409E"/>
  <w15:docId w15:val="{3ED8408B-CA04-8B40-B56D-51D1E32E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3A6D"/>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E73A1A"/>
    <w:rPr>
      <w:rFonts w:eastAsiaTheme="majorEastAsia" w:cstheme="majorBidi"/>
      <w:color w:val="272727" w:themeColor="text1" w:themeTint="D8"/>
    </w:rPr>
  </w:style>
  <w:style w:type="character" w:customStyle="1" w:styleId="TitreCar">
    <w:name w:val="Titre Car"/>
    <w:basedOn w:val="Policepardfaut"/>
    <w:link w:val="Titre"/>
    <w:uiPriority w:val="10"/>
    <w:qFormat/>
    <w:rsid w:val="00E73A1A"/>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E73A1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E73A1A"/>
    <w:rPr>
      <w:rFonts w:ascii="Times New Roman" w:hAnsi="Times New Roman" w:cs="Times New Roman (Corps CS)"/>
      <w:i/>
      <w:iCs/>
      <w:color w:val="404040" w:themeColor="text1" w:themeTint="BF"/>
    </w:rPr>
  </w:style>
  <w:style w:type="character" w:styleId="Accentuationintense">
    <w:name w:val="Intense Emphasis"/>
    <w:basedOn w:val="Policepardfaut"/>
    <w:uiPriority w:val="21"/>
    <w:qFormat/>
    <w:rsid w:val="00E73A1A"/>
    <w:rPr>
      <w:i/>
      <w:iCs/>
      <w:color w:val="2F5496" w:themeColor="accent1" w:themeShade="BF"/>
    </w:rPr>
  </w:style>
  <w:style w:type="character" w:customStyle="1" w:styleId="CitationintenseCar">
    <w:name w:val="Citation intense Car"/>
    <w:basedOn w:val="Policepardfaut"/>
    <w:link w:val="Citationintense"/>
    <w:uiPriority w:val="30"/>
    <w:qFormat/>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customStyle="1" w:styleId="Caractresdenotedebasdepage">
    <w:name w:val="Caractères de note de bas de page"/>
    <w:basedOn w:val="Policepardfaut"/>
    <w:unhideWhenUsed/>
    <w:qFormat/>
    <w:rsid w:val="005B35E5"/>
    <w:rPr>
      <w:vertAlign w:val="superscript"/>
    </w:rPr>
  </w:style>
  <w:style w:type="character" w:styleId="Appelnotedebasdep">
    <w:name w:val="footnote reference"/>
    <w:uiPriority w:val="99"/>
    <w:rPr>
      <w:vertAlign w:val="superscript"/>
    </w:rPr>
  </w:style>
  <w:style w:type="character" w:customStyle="1" w:styleId="hgkelc">
    <w:name w:val="hgkelc"/>
    <w:basedOn w:val="Policepardfaut"/>
    <w:qFormat/>
    <w:rsid w:val="005B35E5"/>
  </w:style>
  <w:style w:type="character" w:customStyle="1" w:styleId="apple-converted-space">
    <w:name w:val="apple-converted-space"/>
    <w:basedOn w:val="Policepardfaut"/>
    <w:qFormat/>
    <w:rsid w:val="005B35E5"/>
  </w:style>
  <w:style w:type="character" w:customStyle="1" w:styleId="jpfdse">
    <w:name w:val="jpfdse"/>
    <w:basedOn w:val="Policepardfaut"/>
    <w:qFormat/>
    <w:rsid w:val="005B35E5"/>
  </w:style>
  <w:style w:type="character" w:customStyle="1" w:styleId="Caractresdenotedebasdepageuser">
    <w:name w:val="Caractères de note de bas de page (user)"/>
    <w:basedOn w:val="Policepardfaut"/>
    <w:uiPriority w:val="99"/>
    <w:qFormat/>
    <w:rsid w:val="005B35E5"/>
    <w:rPr>
      <w:vertAlign w:val="superscript"/>
    </w:rPr>
  </w:style>
  <w:style w:type="character" w:styleId="Lienhypertexte">
    <w:name w:val="Hyperlink"/>
    <w:basedOn w:val="Policepardfaut"/>
    <w:uiPriority w:val="99"/>
    <w:unhideWhenUsed/>
    <w:rsid w:val="005B35E5"/>
    <w:rPr>
      <w:color w:val="0563C1" w:themeColor="hyperlink"/>
      <w:u w:val="single"/>
    </w:rPr>
  </w:style>
  <w:style w:type="character" w:styleId="Accentuation">
    <w:name w:val="Emphasis"/>
    <w:basedOn w:val="Policepardfaut"/>
    <w:uiPriority w:val="20"/>
    <w:qFormat/>
    <w:rsid w:val="009820D2"/>
    <w:rPr>
      <w:i/>
      <w:iCs/>
    </w:rPr>
  </w:style>
  <w:style w:type="character" w:customStyle="1" w:styleId="En-tteCar">
    <w:name w:val="En-tête Car"/>
    <w:basedOn w:val="Policepardfaut"/>
    <w:link w:val="En-tte"/>
    <w:uiPriority w:val="99"/>
    <w:qFormat/>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qFormat/>
    <w:rsid w:val="005D6601"/>
    <w:rPr>
      <w:color w:val="605E5C"/>
      <w:shd w:val="clear" w:color="auto" w:fill="E1DFDD"/>
    </w:rPr>
  </w:style>
  <w:style w:type="character" w:customStyle="1" w:styleId="authordetail">
    <w:name w:val="author__detail"/>
    <w:basedOn w:val="Policepardfaut"/>
    <w:qFormat/>
    <w:rsid w:val="006853F2"/>
  </w:style>
  <w:style w:type="character" w:customStyle="1" w:styleId="authorname">
    <w:name w:val="author__name"/>
    <w:basedOn w:val="Policepardfaut"/>
    <w:qFormat/>
    <w:rsid w:val="006853F2"/>
  </w:style>
  <w:style w:type="character" w:customStyle="1" w:styleId="authordesc">
    <w:name w:val="author__desc"/>
    <w:basedOn w:val="Policepardfaut"/>
    <w:qForma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qFormat/>
    <w:rsid w:val="00F170E1"/>
  </w:style>
  <w:style w:type="character" w:customStyle="1" w:styleId="il">
    <w:name w:val="il"/>
    <w:basedOn w:val="Policepardfaut"/>
    <w:qFormat/>
    <w:rsid w:val="00B117F4"/>
  </w:style>
  <w:style w:type="character" w:customStyle="1" w:styleId="uv3um">
    <w:name w:val="uv3um"/>
    <w:basedOn w:val="Policepardfaut"/>
    <w:qFormat/>
    <w:rsid w:val="00D177B7"/>
  </w:style>
  <w:style w:type="character" w:customStyle="1" w:styleId="ts-alignment-element-highlighted">
    <w:name w:val="ts-alignment-element-highlighted"/>
    <w:basedOn w:val="Policepardfaut"/>
    <w:qFormat/>
    <w:rsid w:val="005C130D"/>
  </w:style>
  <w:style w:type="character" w:styleId="Lienhypertextesuivivisit">
    <w:name w:val="FollowedHyperlink"/>
    <w:basedOn w:val="Policepardfaut"/>
    <w:uiPriority w:val="99"/>
    <w:semiHidden/>
    <w:unhideWhenUsed/>
    <w:rsid w:val="004264B2"/>
    <w:rPr>
      <w:color w:val="954F72" w:themeColor="followedHyperlink"/>
      <w:u w:val="single"/>
    </w:rPr>
  </w:style>
  <w:style w:type="character" w:styleId="Appeldenotedefin">
    <w:name w:val="endnote reference"/>
    <w:rPr>
      <w:vertAlign w:val="superscript"/>
    </w:rPr>
  </w:style>
  <w:style w:type="character" w:customStyle="1" w:styleId="Caractresdenotedefin">
    <w:name w:val="Caractères de note de fin"/>
    <w:qFormat/>
  </w:style>
  <w:style w:type="character" w:styleId="Numrodeligne">
    <w:name w:val="line number"/>
  </w:style>
  <w:style w:type="paragraph" w:styleId="Titre">
    <w:name w:val="Title"/>
    <w:basedOn w:val="Normal"/>
    <w:next w:val="Corpsdetexte"/>
    <w:link w:val="TitreCar"/>
    <w:uiPriority w:val="10"/>
    <w:qFormat/>
    <w:rsid w:val="00E73A1A"/>
    <w:pPr>
      <w:spacing w:after="80"/>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ascii="Georgia" w:hAnsi="Georgia" w:cs="Mangal"/>
    </w:rPr>
  </w:style>
  <w:style w:type="paragraph" w:styleId="Lgende">
    <w:name w:val="caption"/>
    <w:basedOn w:val="Normal"/>
    <w:qFormat/>
    <w:pPr>
      <w:suppressLineNumbers/>
      <w:spacing w:before="120" w:after="120"/>
    </w:pPr>
    <w:rPr>
      <w:rFonts w:ascii="Georgia" w:hAnsi="Georgia" w:cs="Mangal"/>
      <w:i/>
      <w:iCs/>
      <w:sz w:val="18"/>
    </w:rPr>
  </w:style>
  <w:style w:type="paragraph" w:customStyle="1" w:styleId="Index">
    <w:name w:val="Index"/>
    <w:basedOn w:val="Normal"/>
    <w:qFormat/>
    <w:pPr>
      <w:suppressLineNumbers/>
    </w:pPr>
    <w:rPr>
      <w:rFonts w:ascii="Georgia" w:hAnsi="Georgia" w:cs="Mangal"/>
    </w:rPr>
  </w:style>
  <w:style w:type="paragraph" w:styleId="Sous-titre">
    <w:name w:val="Subtitle"/>
    <w:basedOn w:val="Normal"/>
    <w:next w:val="Normal"/>
    <w:link w:val="Sous-titreCar"/>
    <w:uiPriority w:val="11"/>
    <w:qFormat/>
    <w:rsid w:val="00E73A1A"/>
    <w:pPr>
      <w:spacing w:after="160"/>
    </w:pPr>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paragraph" w:styleId="Paragraphedeliste">
    <w:name w:val="List Paragraph"/>
    <w:basedOn w:val="Normal"/>
    <w:uiPriority w:val="34"/>
    <w:qFormat/>
    <w:rsid w:val="00E73A1A"/>
    <w:pPr>
      <w:ind w:left="720"/>
      <w:contextualSpacing/>
    </w:p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Default">
    <w:name w:val="Default"/>
    <w:basedOn w:val="Normal"/>
    <w:uiPriority w:val="99"/>
    <w:qFormat/>
    <w:rsid w:val="00E73A1A"/>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paragraph" w:customStyle="1" w:styleId="xmsonormal">
    <w:name w:val="x_msonormal"/>
    <w:basedOn w:val="Normal"/>
    <w:qFormat/>
    <w:rsid w:val="005B35E5"/>
    <w:pPr>
      <w:spacing w:beforeAutospacing="1" w:afterAutospacing="1"/>
    </w:pPr>
  </w:style>
  <w:style w:type="paragraph" w:customStyle="1" w:styleId="Textbody">
    <w:name w:val="Text body"/>
    <w:basedOn w:val="Normal"/>
    <w:qFormat/>
    <w:rsid w:val="003F7372"/>
    <w:pPr>
      <w:spacing w:after="140" w:line="276" w:lineRule="auto"/>
      <w:textAlignment w:val="baseline"/>
    </w:pPr>
    <w:rPr>
      <w:rFonts w:ascii="Georgia" w:eastAsia="NSimSun" w:hAnsi="Georgia" w:cs="Mangal"/>
      <w:lang w:eastAsia="zh-CN" w:bidi="hi-IN"/>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B1DD3"/>
    <w:pPr>
      <w:tabs>
        <w:tab w:val="center" w:pos="4536"/>
        <w:tab w:val="right" w:pos="9072"/>
      </w:tabs>
    </w:pPr>
  </w:style>
  <w:style w:type="paragraph" w:styleId="NormalWeb">
    <w:name w:val="Normal (Web)"/>
    <w:basedOn w:val="Normal"/>
    <w:uiPriority w:val="99"/>
    <w:unhideWhenUsed/>
    <w:qFormat/>
    <w:rsid w:val="00ED7175"/>
    <w:pPr>
      <w:spacing w:beforeAutospacing="1" w:afterAutospacing="1"/>
    </w:pPr>
  </w:style>
  <w:style w:type="paragraph" w:customStyle="1" w:styleId="heading1">
    <w:name w:val="heading1"/>
    <w:basedOn w:val="Normal"/>
    <w:next w:val="Normal"/>
    <w:qFormat/>
    <w:rsid w:val="009A4E73"/>
    <w:pPr>
      <w:keepNext/>
      <w:keepLines/>
      <w:numPr>
        <w:numId w:val="1"/>
      </w:numPr>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1"/>
      </w:numPr>
      <w:spacing w:before="360" w:after="160" w:line="240" w:lineRule="atLeast"/>
      <w:textAlignment w:val="baseline"/>
      <w:outlineLvl w:val="1"/>
    </w:pPr>
    <w:rPr>
      <w:b/>
      <w:sz w:val="20"/>
      <w:szCs w:val="20"/>
      <w:lang w:val="en-US"/>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numbering" w:customStyle="1" w:styleId="headings">
    <w:name w:val="headings"/>
    <w:qFormat/>
    <w:rsid w:val="009A4E73"/>
  </w:style>
  <w:style w:type="paragraph" w:styleId="Rvision">
    <w:name w:val="Revision"/>
    <w:hidden/>
    <w:uiPriority w:val="99"/>
    <w:semiHidden/>
    <w:rsid w:val="007207B6"/>
    <w:pPr>
      <w:suppressAutoHyphens w:val="0"/>
    </w:pPr>
    <w:rPr>
      <w:rFonts w:ascii="Times New Roman" w:eastAsia="Times New Roman" w:hAnsi="Times New Roman" w:cs="Times New Roman"/>
      <w:kern w:val="0"/>
      <w:lang w:val="fr-B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7671">
      <w:bodyDiv w:val="1"/>
      <w:marLeft w:val="0"/>
      <w:marRight w:val="0"/>
      <w:marTop w:val="0"/>
      <w:marBottom w:val="0"/>
      <w:divBdr>
        <w:top w:val="none" w:sz="0" w:space="0" w:color="auto"/>
        <w:left w:val="none" w:sz="0" w:space="0" w:color="auto"/>
        <w:bottom w:val="none" w:sz="0" w:space="0" w:color="auto"/>
        <w:right w:val="none" w:sz="0" w:space="0" w:color="auto"/>
      </w:divBdr>
    </w:div>
    <w:div w:id="629478687">
      <w:bodyDiv w:val="1"/>
      <w:marLeft w:val="0"/>
      <w:marRight w:val="0"/>
      <w:marTop w:val="0"/>
      <w:marBottom w:val="0"/>
      <w:divBdr>
        <w:top w:val="none" w:sz="0" w:space="0" w:color="auto"/>
        <w:left w:val="none" w:sz="0" w:space="0" w:color="auto"/>
        <w:bottom w:val="none" w:sz="0" w:space="0" w:color="auto"/>
        <w:right w:val="none" w:sz="0" w:space="0" w:color="auto"/>
      </w:divBdr>
      <w:divsChild>
        <w:div w:id="231429697">
          <w:marLeft w:val="0"/>
          <w:marRight w:val="0"/>
          <w:marTop w:val="0"/>
          <w:marBottom w:val="0"/>
          <w:divBdr>
            <w:top w:val="none" w:sz="0" w:space="0" w:color="auto"/>
            <w:left w:val="none" w:sz="0" w:space="0" w:color="auto"/>
            <w:bottom w:val="none" w:sz="0" w:space="0" w:color="auto"/>
            <w:right w:val="none" w:sz="0" w:space="0" w:color="auto"/>
          </w:divBdr>
          <w:divsChild>
            <w:div w:id="691690202">
              <w:marLeft w:val="0"/>
              <w:marRight w:val="0"/>
              <w:marTop w:val="0"/>
              <w:marBottom w:val="0"/>
              <w:divBdr>
                <w:top w:val="none" w:sz="0" w:space="0" w:color="auto"/>
                <w:left w:val="none" w:sz="0" w:space="0" w:color="auto"/>
                <w:bottom w:val="none" w:sz="0" w:space="0" w:color="auto"/>
                <w:right w:val="none" w:sz="0" w:space="0" w:color="auto"/>
              </w:divBdr>
              <w:divsChild>
                <w:div w:id="1504199636">
                  <w:marLeft w:val="0"/>
                  <w:marRight w:val="0"/>
                  <w:marTop w:val="0"/>
                  <w:marBottom w:val="0"/>
                  <w:divBdr>
                    <w:top w:val="none" w:sz="0" w:space="0" w:color="auto"/>
                    <w:left w:val="none" w:sz="0" w:space="0" w:color="auto"/>
                    <w:bottom w:val="none" w:sz="0" w:space="0" w:color="auto"/>
                    <w:right w:val="none" w:sz="0" w:space="0" w:color="auto"/>
                  </w:divBdr>
                  <w:divsChild>
                    <w:div w:id="4233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1520">
      <w:bodyDiv w:val="1"/>
      <w:marLeft w:val="0"/>
      <w:marRight w:val="0"/>
      <w:marTop w:val="0"/>
      <w:marBottom w:val="0"/>
      <w:divBdr>
        <w:top w:val="none" w:sz="0" w:space="0" w:color="auto"/>
        <w:left w:val="none" w:sz="0" w:space="0" w:color="auto"/>
        <w:bottom w:val="none" w:sz="0" w:space="0" w:color="auto"/>
        <w:right w:val="none" w:sz="0" w:space="0" w:color="auto"/>
      </w:divBdr>
    </w:div>
    <w:div w:id="1160579203">
      <w:bodyDiv w:val="1"/>
      <w:marLeft w:val="0"/>
      <w:marRight w:val="0"/>
      <w:marTop w:val="0"/>
      <w:marBottom w:val="0"/>
      <w:divBdr>
        <w:top w:val="none" w:sz="0" w:space="0" w:color="auto"/>
        <w:left w:val="none" w:sz="0" w:space="0" w:color="auto"/>
        <w:bottom w:val="none" w:sz="0" w:space="0" w:color="auto"/>
        <w:right w:val="none" w:sz="0" w:space="0" w:color="auto"/>
      </w:divBdr>
    </w:div>
    <w:div w:id="1210412661">
      <w:bodyDiv w:val="1"/>
      <w:marLeft w:val="0"/>
      <w:marRight w:val="0"/>
      <w:marTop w:val="0"/>
      <w:marBottom w:val="0"/>
      <w:divBdr>
        <w:top w:val="none" w:sz="0" w:space="0" w:color="auto"/>
        <w:left w:val="none" w:sz="0" w:space="0" w:color="auto"/>
        <w:bottom w:val="none" w:sz="0" w:space="0" w:color="auto"/>
        <w:right w:val="none" w:sz="0" w:space="0" w:color="auto"/>
      </w:divBdr>
      <w:divsChild>
        <w:div w:id="1487355864">
          <w:marLeft w:val="0"/>
          <w:marRight w:val="0"/>
          <w:marTop w:val="0"/>
          <w:marBottom w:val="0"/>
          <w:divBdr>
            <w:top w:val="none" w:sz="0" w:space="0" w:color="auto"/>
            <w:left w:val="none" w:sz="0" w:space="0" w:color="auto"/>
            <w:bottom w:val="none" w:sz="0" w:space="0" w:color="auto"/>
            <w:right w:val="none" w:sz="0" w:space="0" w:color="auto"/>
          </w:divBdr>
        </w:div>
        <w:div w:id="1757902694">
          <w:marLeft w:val="0"/>
          <w:marRight w:val="0"/>
          <w:marTop w:val="0"/>
          <w:marBottom w:val="0"/>
          <w:divBdr>
            <w:top w:val="none" w:sz="0" w:space="0" w:color="auto"/>
            <w:left w:val="none" w:sz="0" w:space="0" w:color="auto"/>
            <w:bottom w:val="none" w:sz="0" w:space="0" w:color="auto"/>
            <w:right w:val="none" w:sz="0" w:space="0" w:color="auto"/>
          </w:divBdr>
        </w:div>
        <w:div w:id="501051612">
          <w:marLeft w:val="0"/>
          <w:marRight w:val="0"/>
          <w:marTop w:val="0"/>
          <w:marBottom w:val="0"/>
          <w:divBdr>
            <w:top w:val="none" w:sz="0" w:space="0" w:color="auto"/>
            <w:left w:val="none" w:sz="0" w:space="0" w:color="auto"/>
            <w:bottom w:val="none" w:sz="0" w:space="0" w:color="auto"/>
            <w:right w:val="none" w:sz="0" w:space="0" w:color="auto"/>
          </w:divBdr>
        </w:div>
        <w:div w:id="1533155672">
          <w:marLeft w:val="0"/>
          <w:marRight w:val="0"/>
          <w:marTop w:val="0"/>
          <w:marBottom w:val="0"/>
          <w:divBdr>
            <w:top w:val="none" w:sz="0" w:space="0" w:color="auto"/>
            <w:left w:val="none" w:sz="0" w:space="0" w:color="auto"/>
            <w:bottom w:val="none" w:sz="0" w:space="0" w:color="auto"/>
            <w:right w:val="none" w:sz="0" w:space="0" w:color="auto"/>
          </w:divBdr>
        </w:div>
      </w:divsChild>
    </w:div>
    <w:div w:id="1668358279">
      <w:bodyDiv w:val="1"/>
      <w:marLeft w:val="0"/>
      <w:marRight w:val="0"/>
      <w:marTop w:val="0"/>
      <w:marBottom w:val="0"/>
      <w:divBdr>
        <w:top w:val="none" w:sz="0" w:space="0" w:color="auto"/>
        <w:left w:val="none" w:sz="0" w:space="0" w:color="auto"/>
        <w:bottom w:val="none" w:sz="0" w:space="0" w:color="auto"/>
        <w:right w:val="none" w:sz="0" w:space="0" w:color="auto"/>
      </w:divBdr>
      <w:divsChild>
        <w:div w:id="1801075725">
          <w:marLeft w:val="0"/>
          <w:marRight w:val="0"/>
          <w:marTop w:val="0"/>
          <w:marBottom w:val="0"/>
          <w:divBdr>
            <w:top w:val="none" w:sz="0" w:space="0" w:color="auto"/>
            <w:left w:val="none" w:sz="0" w:space="0" w:color="auto"/>
            <w:bottom w:val="none" w:sz="0" w:space="0" w:color="auto"/>
            <w:right w:val="none" w:sz="0" w:space="0" w:color="auto"/>
          </w:divBdr>
          <w:divsChild>
            <w:div w:id="150604323">
              <w:marLeft w:val="0"/>
              <w:marRight w:val="0"/>
              <w:marTop w:val="0"/>
              <w:marBottom w:val="0"/>
              <w:divBdr>
                <w:top w:val="none" w:sz="0" w:space="0" w:color="auto"/>
                <w:left w:val="none" w:sz="0" w:space="0" w:color="auto"/>
                <w:bottom w:val="none" w:sz="0" w:space="0" w:color="auto"/>
                <w:right w:val="none" w:sz="0" w:space="0" w:color="auto"/>
              </w:divBdr>
              <w:divsChild>
                <w:div w:id="1066758629">
                  <w:marLeft w:val="0"/>
                  <w:marRight w:val="0"/>
                  <w:marTop w:val="0"/>
                  <w:marBottom w:val="0"/>
                  <w:divBdr>
                    <w:top w:val="none" w:sz="0" w:space="0" w:color="auto"/>
                    <w:left w:val="none" w:sz="0" w:space="0" w:color="auto"/>
                    <w:bottom w:val="none" w:sz="0" w:space="0" w:color="auto"/>
                    <w:right w:val="none" w:sz="0" w:space="0" w:color="auto"/>
                  </w:divBdr>
                  <w:divsChild>
                    <w:div w:id="1478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5398">
      <w:bodyDiv w:val="1"/>
      <w:marLeft w:val="0"/>
      <w:marRight w:val="0"/>
      <w:marTop w:val="0"/>
      <w:marBottom w:val="0"/>
      <w:divBdr>
        <w:top w:val="none" w:sz="0" w:space="0" w:color="auto"/>
        <w:left w:val="none" w:sz="0" w:space="0" w:color="auto"/>
        <w:bottom w:val="none" w:sz="0" w:space="0" w:color="auto"/>
        <w:right w:val="none" w:sz="0" w:space="0" w:color="auto"/>
      </w:divBdr>
      <w:divsChild>
        <w:div w:id="1282611405">
          <w:marLeft w:val="0"/>
          <w:marRight w:val="0"/>
          <w:marTop w:val="0"/>
          <w:marBottom w:val="0"/>
          <w:divBdr>
            <w:top w:val="none" w:sz="0" w:space="0" w:color="auto"/>
            <w:left w:val="none" w:sz="0" w:space="0" w:color="auto"/>
            <w:bottom w:val="none" w:sz="0" w:space="0" w:color="auto"/>
            <w:right w:val="none" w:sz="0" w:space="0" w:color="auto"/>
          </w:divBdr>
          <w:divsChild>
            <w:div w:id="365525563">
              <w:marLeft w:val="0"/>
              <w:marRight w:val="0"/>
              <w:marTop w:val="0"/>
              <w:marBottom w:val="0"/>
              <w:divBdr>
                <w:top w:val="none" w:sz="0" w:space="0" w:color="auto"/>
                <w:left w:val="none" w:sz="0" w:space="0" w:color="auto"/>
                <w:bottom w:val="none" w:sz="0" w:space="0" w:color="auto"/>
                <w:right w:val="none" w:sz="0" w:space="0" w:color="auto"/>
              </w:divBdr>
              <w:divsChild>
                <w:div w:id="1472139929">
                  <w:marLeft w:val="0"/>
                  <w:marRight w:val="0"/>
                  <w:marTop w:val="0"/>
                  <w:marBottom w:val="0"/>
                  <w:divBdr>
                    <w:top w:val="none" w:sz="0" w:space="0" w:color="auto"/>
                    <w:left w:val="none" w:sz="0" w:space="0" w:color="auto"/>
                    <w:bottom w:val="none" w:sz="0" w:space="0" w:color="auto"/>
                    <w:right w:val="none" w:sz="0" w:space="0" w:color="auto"/>
                  </w:divBdr>
                  <w:divsChild>
                    <w:div w:id="15478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press/key/date/2018/html/ecb.sp180511.en.html" TargetMode="External"/><Relationship Id="rId2" Type="http://schemas.openxmlformats.org/officeDocument/2006/relationships/hyperlink" Target="https://www.liberation.fr/debats/2020/07/25/le-moment-hamiltonien-de-l-europe_1812359/?redirected=2284," TargetMode="External"/><Relationship Id="rId1" Type="http://schemas.openxmlformats.org/officeDocument/2006/relationships/hyperlink" Target="https://www.smithsonianmag.com/sponsored/alexander-hamilton-debt-national-bank-two-parties-1789-american-history-great-courses-plus-180962954/" TargetMode="External"/><Relationship Id="rId4" Type="http://schemas.openxmlformats.org/officeDocument/2006/relationships/hyperlink" Target="https://www.institutmontaigne.org/publications/rapport-draghi-leurope-au-rendez-vous"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4</Pages>
  <Words>2337</Words>
  <Characters>12857</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dc:description/>
  <cp:lastModifiedBy>Jean Marsia</cp:lastModifiedBy>
  <cp:revision>27</cp:revision>
  <cp:lastPrinted>2026-05-02T04:54:00Z</cp:lastPrinted>
  <dcterms:created xsi:type="dcterms:W3CDTF">2026-06-23T08:10:00Z</dcterms:created>
  <dcterms:modified xsi:type="dcterms:W3CDTF">2026-07-16T17:01:00Z</dcterms:modified>
  <dc:language>fr-FR</dc:language>
</cp:coreProperties>
</file>